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BD" w:rsidRDefault="00D13ABD">
      <w:pPr>
        <w:ind w:firstLine="840"/>
        <w:jc w:val="right"/>
        <w:rPr>
          <w:sz w:val="24"/>
          <w:szCs w:val="24"/>
          <w:lang w:val="lv-LV"/>
        </w:rPr>
      </w:pPr>
      <w:bookmarkStart w:id="0" w:name="_GoBack"/>
      <w:bookmarkEnd w:id="0"/>
    </w:p>
    <w:p w:rsidR="00D13ABD" w:rsidRDefault="00D13ABD">
      <w:pPr>
        <w:ind w:left="5812"/>
        <w:rPr>
          <w:b/>
          <w:bCs/>
          <w:sz w:val="24"/>
          <w:szCs w:val="24"/>
          <w:lang w:val="lv-LV"/>
        </w:rPr>
      </w:pPr>
      <w:r>
        <w:rPr>
          <w:b/>
          <w:bCs/>
          <w:sz w:val="24"/>
          <w:szCs w:val="24"/>
          <w:lang w:val="lv-LV"/>
        </w:rPr>
        <w:t>APSTIPRINĀTA</w:t>
      </w:r>
    </w:p>
    <w:p w:rsidR="00D13ABD" w:rsidRDefault="00D13ABD">
      <w:pPr>
        <w:ind w:left="5812"/>
        <w:rPr>
          <w:sz w:val="8"/>
          <w:szCs w:val="8"/>
          <w:lang w:val="lv-LV"/>
        </w:rPr>
      </w:pPr>
    </w:p>
    <w:p w:rsidR="00D13ABD" w:rsidRDefault="00D13ABD">
      <w:pPr>
        <w:ind w:left="5812"/>
        <w:rPr>
          <w:sz w:val="24"/>
          <w:szCs w:val="24"/>
          <w:lang w:val="lv-LV"/>
        </w:rPr>
      </w:pPr>
      <w:r>
        <w:rPr>
          <w:sz w:val="24"/>
          <w:szCs w:val="24"/>
          <w:lang w:val="lv-LV"/>
        </w:rPr>
        <w:t>ar valsts a/s "Latvijas dzelzceļš"</w:t>
      </w:r>
    </w:p>
    <w:p w:rsidR="00D13ABD" w:rsidRDefault="00D13ABD">
      <w:pPr>
        <w:ind w:left="5812"/>
        <w:rPr>
          <w:sz w:val="8"/>
          <w:szCs w:val="8"/>
          <w:lang w:val="lv-LV"/>
        </w:rPr>
      </w:pPr>
    </w:p>
    <w:p w:rsidR="00D13ABD" w:rsidRDefault="00D13ABD">
      <w:pPr>
        <w:ind w:left="5812"/>
        <w:rPr>
          <w:sz w:val="24"/>
          <w:szCs w:val="24"/>
          <w:lang w:val="lv-LV"/>
        </w:rPr>
      </w:pPr>
      <w:r>
        <w:rPr>
          <w:sz w:val="24"/>
          <w:szCs w:val="24"/>
          <w:lang w:val="lv-LV"/>
        </w:rPr>
        <w:t>200</w:t>
      </w:r>
      <w:r w:rsidR="0059638D">
        <w:rPr>
          <w:sz w:val="24"/>
          <w:szCs w:val="24"/>
          <w:lang w:val="lv-LV"/>
        </w:rPr>
        <w:t>8</w:t>
      </w:r>
      <w:r>
        <w:rPr>
          <w:sz w:val="24"/>
          <w:szCs w:val="24"/>
          <w:lang w:val="lv-LV"/>
        </w:rPr>
        <w:t xml:space="preserve">. gada </w:t>
      </w:r>
      <w:r w:rsidR="00302E51" w:rsidRPr="00302E51">
        <w:rPr>
          <w:sz w:val="24"/>
          <w:szCs w:val="24"/>
          <w:u w:val="single"/>
          <w:lang w:val="lv-LV"/>
        </w:rPr>
        <w:t>06</w:t>
      </w:r>
      <w:r>
        <w:rPr>
          <w:sz w:val="24"/>
          <w:szCs w:val="24"/>
          <w:lang w:val="lv-LV"/>
        </w:rPr>
        <w:t xml:space="preserve">_. </w:t>
      </w:r>
      <w:r w:rsidR="00302E51" w:rsidRPr="00302E51">
        <w:rPr>
          <w:sz w:val="24"/>
          <w:szCs w:val="24"/>
          <w:u w:val="single"/>
          <w:lang w:val="lv-LV"/>
        </w:rPr>
        <w:t xml:space="preserve">  </w:t>
      </w:r>
      <w:r w:rsidR="0059638D">
        <w:rPr>
          <w:sz w:val="24"/>
          <w:szCs w:val="24"/>
          <w:u w:val="single"/>
          <w:lang w:val="lv-LV"/>
        </w:rPr>
        <w:t>februāra</w:t>
      </w:r>
    </w:p>
    <w:p w:rsidR="00D13ABD" w:rsidRDefault="00D13ABD">
      <w:pPr>
        <w:ind w:left="5812"/>
        <w:rPr>
          <w:sz w:val="8"/>
          <w:szCs w:val="8"/>
          <w:lang w:val="lv-LV"/>
        </w:rPr>
      </w:pPr>
    </w:p>
    <w:p w:rsidR="00D13ABD" w:rsidRDefault="00D13ABD">
      <w:pPr>
        <w:ind w:left="5812"/>
        <w:rPr>
          <w:b/>
          <w:bCs/>
          <w:sz w:val="32"/>
          <w:szCs w:val="32"/>
          <w:lang w:val="lv-LV"/>
        </w:rPr>
      </w:pPr>
      <w:r>
        <w:rPr>
          <w:sz w:val="24"/>
          <w:szCs w:val="24"/>
          <w:lang w:val="lv-LV"/>
        </w:rPr>
        <w:t>rīkojumu Nr. _</w:t>
      </w:r>
      <w:r w:rsidR="00302E51" w:rsidRPr="00302E51">
        <w:rPr>
          <w:sz w:val="24"/>
          <w:szCs w:val="24"/>
          <w:u w:val="single"/>
          <w:lang w:val="lv-LV"/>
        </w:rPr>
        <w:t>D -3/</w:t>
      </w:r>
      <w:r w:rsidR="0059638D">
        <w:rPr>
          <w:sz w:val="24"/>
          <w:szCs w:val="24"/>
          <w:u w:val="single"/>
          <w:lang w:val="lv-LV"/>
        </w:rPr>
        <w:t>77</w:t>
      </w:r>
      <w:r w:rsidRPr="00302E51">
        <w:rPr>
          <w:sz w:val="24"/>
          <w:szCs w:val="24"/>
          <w:u w:val="single"/>
          <w:lang w:val="lv-LV"/>
        </w:rPr>
        <w:t>_</w:t>
      </w:r>
    </w:p>
    <w:p w:rsidR="00D13ABD" w:rsidRDefault="00D13ABD">
      <w:pPr>
        <w:ind w:left="5812"/>
        <w:rPr>
          <w:sz w:val="24"/>
          <w:szCs w:val="24"/>
          <w:lang w:val="lv-LV"/>
        </w:rPr>
      </w:pPr>
    </w:p>
    <w:p w:rsidR="00D13ABD" w:rsidRDefault="00D13ABD">
      <w:pPr>
        <w:pStyle w:val="Header"/>
        <w:tabs>
          <w:tab w:val="clear" w:pos="4153"/>
          <w:tab w:val="clear" w:pos="8306"/>
        </w:tabs>
        <w:rPr>
          <w:color w:val="000000"/>
          <w:sz w:val="24"/>
          <w:szCs w:val="24"/>
          <w:lang w:val="lv-LV"/>
        </w:rPr>
      </w:pPr>
    </w:p>
    <w:p w:rsidR="00D13ABD" w:rsidRDefault="00D13ABD">
      <w:pPr>
        <w:ind w:left="3360"/>
        <w:rPr>
          <w:lang w:val="lv-LV"/>
        </w:rPr>
      </w:pPr>
    </w:p>
    <w:p w:rsidR="00D13ABD" w:rsidRDefault="00D13ABD">
      <w:pPr>
        <w:pStyle w:val="FR1"/>
        <w:spacing w:line="240" w:lineRule="auto"/>
        <w:rPr>
          <w:b/>
          <w:bCs/>
          <w:sz w:val="24"/>
          <w:szCs w:val="24"/>
        </w:rPr>
      </w:pPr>
      <w:r>
        <w:rPr>
          <w:b/>
          <w:bCs/>
          <w:sz w:val="24"/>
          <w:szCs w:val="24"/>
        </w:rPr>
        <w:t>IZPILDĪTĀ VILCIENU KUSTĪBAS GRAFIKA ANALĪZES UN UZSKAITES INSTRUKCIJA</w:t>
      </w:r>
    </w:p>
    <w:p w:rsidR="00D13ABD" w:rsidRDefault="0059638D">
      <w:pPr>
        <w:pStyle w:val="FR2"/>
        <w:spacing w:line="240" w:lineRule="auto"/>
        <w:rPr>
          <w:sz w:val="20"/>
          <w:szCs w:val="20"/>
        </w:rPr>
      </w:pPr>
      <w:r>
        <w:rPr>
          <w:sz w:val="20"/>
          <w:szCs w:val="20"/>
        </w:rPr>
        <w:t>(ar grozījumiem, kas apstiprināti ar 06.07.2009. valdes priekšsēdētāja rīkojumu Nr. D-3/333)</w:t>
      </w:r>
    </w:p>
    <w:p w:rsidR="00D13ABD" w:rsidRDefault="00D13ABD" w:rsidP="00D13ABD">
      <w:pPr>
        <w:numPr>
          <w:ilvl w:val="0"/>
          <w:numId w:val="1"/>
        </w:numPr>
        <w:tabs>
          <w:tab w:val="clear" w:pos="2400"/>
          <w:tab w:val="num" w:pos="426"/>
        </w:tabs>
        <w:spacing w:before="240" w:after="240"/>
        <w:ind w:left="0" w:firstLine="0"/>
        <w:jc w:val="center"/>
        <w:outlineLvl w:val="0"/>
        <w:rPr>
          <w:rFonts w:ascii="Arial" w:hAnsi="Arial" w:cs="Arial"/>
          <w:b/>
          <w:bCs/>
          <w:caps/>
          <w:sz w:val="24"/>
          <w:szCs w:val="24"/>
          <w:lang w:val="lv-LV"/>
        </w:rPr>
      </w:pPr>
      <w:r>
        <w:rPr>
          <w:rFonts w:ascii="Arial" w:hAnsi="Arial" w:cs="Arial"/>
          <w:b/>
          <w:bCs/>
          <w:caps/>
          <w:sz w:val="24"/>
          <w:szCs w:val="24"/>
          <w:lang w:val="lv-LV"/>
        </w:rPr>
        <w:t>VISPĀRĪGIE NOTEIKUMI</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Vilcienu kustības grafiks ir galvenais normatīvi tehniskais dokuments vilcienu kustības organizēšanā, kas regulē dzelzceļa struktūrvienību un pārvadātāju kopējo darbu. Vilcienu kustības grafiks ir saistošs visām dzelzceļa ekspluatācijā iesaistītajām personām. Vilcienu kustības grafiku apstiprina dzelzceļa infrastruktūras pārvaldītājs.</w:t>
      </w:r>
    </w:p>
    <w:p w:rsidR="00D13ABD" w:rsidRDefault="00D13ABD">
      <w:pPr>
        <w:pStyle w:val="BodyText2"/>
        <w:tabs>
          <w:tab w:val="clear" w:pos="567"/>
        </w:tabs>
        <w:ind w:firstLine="709"/>
        <w:rPr>
          <w:color w:val="auto"/>
        </w:rPr>
      </w:pPr>
      <w:r>
        <w:rPr>
          <w:color w:val="auto"/>
        </w:rPr>
        <w:t>Pasažieru un kravas vilcienu kustības grafika izpilde nodrošina satiksmes drošību, efektīvāku ritošā sastāva, dzelzceļa caurlaides un caurvedes spēju izmantošanu, ātrāku kravu piegādi, pasažieru apkalpošanas uzlabošanu, tam ir svarīga ekonomiska un sociāla nozīme.</w:t>
      </w: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Vilcienu kustības grafika izpildes līmenis atspoguļo pārvadājumu procesa tehnoloģijas realizācijas pakāpi un darba kvalitāti.</w:t>
      </w: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Izpildītā vilcienu kustības grafika analīzē konstatē novirzes vilcienu kustībā, kas saistītas ar tehnoloģisko procesu neievērošanu, tehnisko līdzekļu bojājumiem, pārkāpumiem komercdarbībā un citiem kustības traucējumiem.</w:t>
      </w:r>
    </w:p>
    <w:p w:rsidR="00D13ABD" w:rsidRDefault="00D13ABD">
      <w:pPr>
        <w:ind w:right="42" w:firstLine="709"/>
        <w:jc w:val="both"/>
        <w:rPr>
          <w:rFonts w:ascii="Arial" w:hAnsi="Arial" w:cs="Arial"/>
          <w:sz w:val="24"/>
          <w:szCs w:val="24"/>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Vilcienu kustības grafika izpildes pirmavoti ir:</w:t>
      </w:r>
    </w:p>
    <w:p w:rsidR="00D13ABD" w:rsidRDefault="00D13ABD">
      <w:pPr>
        <w:ind w:right="42"/>
        <w:jc w:val="both"/>
        <w:rPr>
          <w:rFonts w:ascii="Arial" w:hAnsi="Arial" w:cs="Arial"/>
          <w:sz w:val="24"/>
          <w:szCs w:val="24"/>
          <w:lang w:val="lv-LV"/>
        </w:rPr>
      </w:pPr>
    </w:p>
    <w:p w:rsidR="00D13ABD" w:rsidRDefault="00D13ABD" w:rsidP="00D13ABD">
      <w:pPr>
        <w:numPr>
          <w:ilvl w:val="2"/>
          <w:numId w:val="1"/>
        </w:numPr>
        <w:tabs>
          <w:tab w:val="clear" w:pos="2760"/>
          <w:tab w:val="num" w:pos="1985"/>
        </w:tabs>
        <w:ind w:left="1985" w:right="42" w:hanging="851"/>
        <w:jc w:val="both"/>
        <w:rPr>
          <w:rFonts w:ascii="Arial" w:hAnsi="Arial" w:cs="Arial"/>
          <w:sz w:val="24"/>
          <w:szCs w:val="24"/>
          <w:lang w:val="lv-LV"/>
        </w:rPr>
      </w:pPr>
      <w:r>
        <w:rPr>
          <w:rFonts w:ascii="Arial" w:hAnsi="Arial" w:cs="Arial"/>
          <w:b/>
          <w:bCs/>
          <w:sz w:val="24"/>
          <w:szCs w:val="24"/>
          <w:lang w:val="lv-LV"/>
        </w:rPr>
        <w:t>Stacijās</w:t>
      </w:r>
      <w:r>
        <w:rPr>
          <w:rFonts w:ascii="Arial" w:hAnsi="Arial" w:cs="Arial"/>
          <w:sz w:val="24"/>
          <w:szCs w:val="24"/>
          <w:lang w:val="lv-LV"/>
        </w:rPr>
        <w:t>:</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spēkā esošais vilcienu kustības grafiks;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stacijas maiņas darba plāns, kas tiek koriģēts ik pēc 4-6 stundām;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žurnāls;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atsevišķi rīkojumi par pasažieru vilcienu norīkošanu, kā arī par vilcieniem, kuri brauc pēc dispečersaraksta;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telegrammas par izmaiņām vilcienu kustības sarakstā;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stacijas tehnoloģiskā procesa normatīvi, stacijas tehniskās rīcības akts.</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Vilcienu kustības organizācijas daļās (EIDV):</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grafiks;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izpildītais vilcienu kustības grafiks un tā pielikumi, par kuru pareizu aizpildīšanu atbild vilcienu dispečers;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atsevišķi rīkojumi par pasažieru vilcienu norīkošanu un par izmaiņām to kustības sarakstā, par vilcienu norīkošanu pēc dispečersaraksta;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organizācijas daļas maiņas plāns, kas tiek koriģēts ik pēc  4-6 stundu perioda.</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Kustības organizācijas daļā (DKO):</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grafiks;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lastRenderedPageBreak/>
        <w:t>saraksts ar laiku, kad vilciens tiek pieņemts uz dzelzceļa un tā pienākšana pirmajā šķirošanas (iecirkņa) stacijā - vilcieniem, kuri pienāk no ārvalstu dzelzceļiem;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saraksts ar laiku, kad vilciens tiek nosūtīts no pēdējās šķirošanas (iecirkņa) stacijas un nodots no dzelzceļa - vilcieniem, kuri tiek nosūtīti uz ārvalstu dzelzceļiem;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izpildītā vilcienu kustības grafika dati;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atsevišķi rīkojumi par pasažieru vilcienu norīkošanu un izmaiņām to kustības sarakstā, par vilcienu norīkošanu pēc dispečersaraksta.</w:t>
      </w:r>
    </w:p>
    <w:p w:rsidR="00D13ABD" w:rsidRDefault="00D13ABD">
      <w:pPr>
        <w:pStyle w:val="BodyTextIndent3"/>
        <w:ind w:left="426"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Par pareizu un savlaicīgu maiņas plānu sastādīšanu, dispečeru rīkojumu noformēšanu par vilcienu norīkošanu un izmaiņām grafikā, par datu pareizību vilcienu pienākšanā, nosūtīšanā un caurbraukšanā atbild:</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stacijās – stacijas priekšnieks;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organizācijas daļās – daļas vadītājs (vecākais dispečers);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ekspluatācijas iecirkņos – ekspluatācijas iecirkņa vadītājs;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Kustības organizācijas daļā – daļas vadītājs.</w:t>
      </w:r>
    </w:p>
    <w:p w:rsidR="00D13ABD" w:rsidRDefault="00D13ABD">
      <w:pPr>
        <w:pStyle w:val="BodyTextIndent3"/>
        <w:ind w:left="426"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Par izpildītā vilcienu kustības grafika analīzes kvalitāti un pārskatu pareizību atbild:</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organizācijas daļās – daļas vadītājs (vecākais dispečers);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direkcijā – Kustības organizācijas daļas vadītājs un Informatīvā skaitļošanas centra vadītājs.</w:t>
      </w:r>
    </w:p>
    <w:p w:rsidR="00D13ABD" w:rsidRDefault="00D13ABD">
      <w:pPr>
        <w:pStyle w:val="BodyTextIndent3"/>
        <w:ind w:left="426"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Ja izpildītā vilcienu kustības grafika uzskaites pirmavotos atšķiras vilcienu pienākšanas, nosūtīšanas un caurbraukšanas laiki, par noteicošo uzskatīt:</w:t>
      </w:r>
    </w:p>
    <w:p w:rsidR="00D13ABD" w:rsidRDefault="00D13ABD" w:rsidP="00D13ABD">
      <w:pPr>
        <w:numPr>
          <w:ilvl w:val="0"/>
          <w:numId w:val="2"/>
        </w:numPr>
        <w:tabs>
          <w:tab w:val="clear" w:pos="1129"/>
          <w:tab w:val="num" w:pos="851"/>
        </w:tabs>
        <w:ind w:left="851" w:right="42" w:hanging="425"/>
        <w:jc w:val="both"/>
        <w:rPr>
          <w:rFonts w:ascii="Arial" w:hAnsi="Arial" w:cs="Arial"/>
          <w:color w:val="000000"/>
          <w:sz w:val="24"/>
          <w:szCs w:val="24"/>
          <w:lang w:val="lv-LV"/>
        </w:rPr>
      </w:pPr>
      <w:r>
        <w:rPr>
          <w:rFonts w:ascii="Arial" w:hAnsi="Arial" w:cs="Arial"/>
          <w:color w:val="000000"/>
          <w:sz w:val="24"/>
          <w:szCs w:val="24"/>
          <w:lang w:val="lv-LV"/>
        </w:rPr>
        <w:t>ar mikroprocesoru centralizāciju aprīkotās stacijās un iecirkņos – centralizācijas datus;</w:t>
      </w:r>
    </w:p>
    <w:p w:rsidR="00D13ABD" w:rsidRDefault="00D13ABD" w:rsidP="00D13ABD">
      <w:pPr>
        <w:numPr>
          <w:ilvl w:val="0"/>
          <w:numId w:val="2"/>
        </w:numPr>
        <w:tabs>
          <w:tab w:val="clear" w:pos="1129"/>
          <w:tab w:val="num" w:pos="851"/>
        </w:tabs>
        <w:ind w:left="851" w:right="42" w:hanging="425"/>
        <w:jc w:val="both"/>
        <w:rPr>
          <w:rFonts w:ascii="Arial" w:hAnsi="Arial" w:cs="Arial"/>
          <w:color w:val="000000"/>
          <w:sz w:val="24"/>
          <w:szCs w:val="24"/>
          <w:lang w:val="lv-LV"/>
        </w:rPr>
      </w:pPr>
      <w:r>
        <w:rPr>
          <w:rFonts w:ascii="Arial" w:hAnsi="Arial" w:cs="Arial"/>
          <w:color w:val="000000"/>
          <w:sz w:val="24"/>
          <w:szCs w:val="24"/>
          <w:lang w:val="lv-LV"/>
        </w:rPr>
        <w:t>pārējās stacijās un iecirkņos - ātrummērītāju lenšu atšifrējumu datus.</w:t>
      </w:r>
    </w:p>
    <w:p w:rsidR="00D13ABD" w:rsidRDefault="00D13ABD">
      <w:pPr>
        <w:pStyle w:val="BodyText2"/>
        <w:tabs>
          <w:tab w:val="clear" w:pos="567"/>
        </w:tabs>
        <w:ind w:firstLine="709"/>
      </w:pPr>
      <w:r>
        <w:t>Pieļaujamā atšķirība starp laiku, kas uzrādīts izpildītajā vilcienu kustības grafikā un stacijas vilcienu kustības žurnālā, un laiku ātrummērītāju lenšu atšifrējumu datos vai mikroprocesoru centralizācijas datos nedrīkst pārsniegt divas minūtes.</w:t>
      </w:r>
    </w:p>
    <w:p w:rsidR="00D13ABD" w:rsidRDefault="00D13ABD">
      <w:pPr>
        <w:ind w:right="42"/>
        <w:jc w:val="both"/>
        <w:rPr>
          <w:rFonts w:ascii="Arial" w:hAnsi="Arial" w:cs="Arial"/>
          <w:color w:val="FF0000"/>
          <w:sz w:val="24"/>
          <w:szCs w:val="24"/>
          <w:lang w:val="lv-LV"/>
        </w:rPr>
      </w:pPr>
    </w:p>
    <w:p w:rsidR="00D13ABD" w:rsidRDefault="00D13ABD" w:rsidP="00D13ABD">
      <w:pPr>
        <w:numPr>
          <w:ilvl w:val="0"/>
          <w:numId w:val="1"/>
        </w:numPr>
        <w:tabs>
          <w:tab w:val="clear" w:pos="2400"/>
          <w:tab w:val="num" w:pos="426"/>
        </w:tabs>
        <w:spacing w:before="240" w:after="240"/>
        <w:ind w:left="0" w:firstLine="0"/>
        <w:jc w:val="center"/>
        <w:outlineLvl w:val="0"/>
        <w:rPr>
          <w:rFonts w:ascii="Arial" w:hAnsi="Arial" w:cs="Arial"/>
          <w:b/>
          <w:bCs/>
          <w:caps/>
          <w:sz w:val="32"/>
          <w:szCs w:val="32"/>
          <w:lang w:val="lv-LV"/>
        </w:rPr>
      </w:pPr>
      <w:r>
        <w:rPr>
          <w:rFonts w:ascii="Arial" w:hAnsi="Arial" w:cs="Arial"/>
          <w:b/>
          <w:bCs/>
          <w:caps/>
          <w:sz w:val="24"/>
          <w:szCs w:val="24"/>
          <w:lang w:val="lv-LV"/>
        </w:rPr>
        <w:t xml:space="preserve">izpildītā vilcienu kustības grafika uzskaite </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Uzskaitē par mērvienību pieņem vilcienu, kuru uzskaita:</w:t>
      </w:r>
    </w:p>
    <w:p w:rsidR="00D13ABD" w:rsidRDefault="00D13ABD">
      <w:pPr>
        <w:ind w:right="42"/>
        <w:jc w:val="both"/>
        <w:rPr>
          <w:rFonts w:ascii="Arial" w:hAnsi="Arial" w:cs="Arial"/>
          <w:sz w:val="8"/>
          <w:szCs w:val="8"/>
          <w:lang w:val="lv-LV"/>
        </w:rPr>
      </w:pPr>
    </w:p>
    <w:p w:rsidR="00D13ABD" w:rsidRDefault="00D13ABD" w:rsidP="00D13ABD">
      <w:pPr>
        <w:numPr>
          <w:ilvl w:val="2"/>
          <w:numId w:val="1"/>
        </w:numPr>
        <w:tabs>
          <w:tab w:val="clear" w:pos="2760"/>
          <w:tab w:val="num" w:pos="1985"/>
        </w:tabs>
        <w:ind w:left="1985" w:right="42" w:hanging="851"/>
        <w:jc w:val="both"/>
        <w:rPr>
          <w:rFonts w:ascii="Arial" w:hAnsi="Arial" w:cs="Arial"/>
          <w:sz w:val="24"/>
          <w:szCs w:val="24"/>
          <w:lang w:val="lv-LV"/>
        </w:rPr>
      </w:pPr>
      <w:r>
        <w:rPr>
          <w:rFonts w:ascii="Arial" w:hAnsi="Arial" w:cs="Arial"/>
          <w:sz w:val="24"/>
          <w:szCs w:val="24"/>
          <w:lang w:val="lv-LV"/>
        </w:rPr>
        <w:t>nosūtot – "nosūtīts saskaņā ar sarakstu" vai "nosūtīts ar nokavēšanos";</w:t>
      </w:r>
    </w:p>
    <w:p w:rsidR="00D13ABD" w:rsidRDefault="00D13ABD" w:rsidP="00D13ABD">
      <w:pPr>
        <w:numPr>
          <w:ilvl w:val="2"/>
          <w:numId w:val="1"/>
        </w:numPr>
        <w:tabs>
          <w:tab w:val="clear" w:pos="2760"/>
          <w:tab w:val="num" w:pos="1985"/>
        </w:tabs>
        <w:ind w:left="1985" w:right="42" w:hanging="851"/>
        <w:jc w:val="both"/>
        <w:rPr>
          <w:rFonts w:ascii="Arial" w:hAnsi="Arial" w:cs="Arial"/>
          <w:sz w:val="24"/>
          <w:szCs w:val="24"/>
          <w:lang w:val="lv-LV"/>
        </w:rPr>
      </w:pPr>
      <w:r>
        <w:rPr>
          <w:rFonts w:ascii="Arial" w:hAnsi="Arial" w:cs="Arial"/>
          <w:sz w:val="24"/>
          <w:szCs w:val="24"/>
          <w:lang w:val="lv-LV"/>
        </w:rPr>
        <w:t>caurbraucot – "caurbraucis saskaņā ar sarakstu", "caurbraucis samazinot kavējumu" vai "caurbraucis ar nokavēšanos";</w:t>
      </w:r>
    </w:p>
    <w:p w:rsidR="00D13ABD" w:rsidRDefault="00D13ABD" w:rsidP="00D13ABD">
      <w:pPr>
        <w:numPr>
          <w:ilvl w:val="2"/>
          <w:numId w:val="1"/>
        </w:numPr>
        <w:tabs>
          <w:tab w:val="clear" w:pos="2760"/>
          <w:tab w:val="num" w:pos="1985"/>
        </w:tabs>
        <w:ind w:left="1985" w:right="42" w:hanging="851"/>
        <w:jc w:val="both"/>
        <w:rPr>
          <w:rFonts w:ascii="Arial" w:hAnsi="Arial" w:cs="Arial"/>
          <w:sz w:val="24"/>
          <w:szCs w:val="24"/>
          <w:lang w:val="lv-LV"/>
        </w:rPr>
      </w:pPr>
      <w:r>
        <w:rPr>
          <w:rFonts w:ascii="Arial" w:hAnsi="Arial" w:cs="Arial"/>
          <w:sz w:val="24"/>
          <w:szCs w:val="24"/>
          <w:lang w:val="lv-LV"/>
        </w:rPr>
        <w:t>turklāt, katru pasažieru vilcienu uzskaita: pienākot – "pienācis saskaņā ar sarakstu" vai "pienācis ar nokavēšanos";</w:t>
      </w:r>
    </w:p>
    <w:p w:rsidR="00D13ABD" w:rsidRDefault="00D13ABD" w:rsidP="00D13ABD">
      <w:pPr>
        <w:numPr>
          <w:ilvl w:val="2"/>
          <w:numId w:val="1"/>
        </w:numPr>
        <w:tabs>
          <w:tab w:val="clear" w:pos="2760"/>
          <w:tab w:val="num" w:pos="1985"/>
        </w:tabs>
        <w:ind w:left="1985" w:right="42" w:hanging="851"/>
        <w:jc w:val="both"/>
        <w:rPr>
          <w:rFonts w:ascii="Arial" w:hAnsi="Arial" w:cs="Arial"/>
          <w:sz w:val="24"/>
          <w:szCs w:val="24"/>
          <w:lang w:val="lv-LV"/>
        </w:rPr>
      </w:pPr>
      <w:r>
        <w:rPr>
          <w:rFonts w:ascii="Arial" w:hAnsi="Arial" w:cs="Arial"/>
          <w:sz w:val="24"/>
          <w:szCs w:val="24"/>
          <w:lang w:val="lv-LV"/>
        </w:rPr>
        <w:t>atsevišķos gadījumos, ja vilciens nosūtīts pēc vilcienu dispečera rīkojuma pirms sarakstā paredzētā laika, uzskatīt:</w:t>
      </w:r>
    </w:p>
    <w:p w:rsidR="00D13ABD" w:rsidRDefault="00D13ABD" w:rsidP="00D13ABD">
      <w:pPr>
        <w:pStyle w:val="BlockText"/>
        <w:numPr>
          <w:ilvl w:val="3"/>
          <w:numId w:val="1"/>
        </w:numPr>
        <w:tabs>
          <w:tab w:val="clear" w:pos="3120"/>
          <w:tab w:val="num" w:pos="2694"/>
        </w:tabs>
        <w:ind w:left="2694" w:hanging="993"/>
      </w:pPr>
      <w:r>
        <w:t>nodots kaimiņiecirknim (pienāca šķirošanas vai iecirkņa stacijā) pēc saraksta saskaņā ar grafiku – "caurbraucis (pienācis) saskaņā ar sarakstu";</w:t>
      </w:r>
    </w:p>
    <w:p w:rsidR="00D13ABD" w:rsidRDefault="00D13ABD" w:rsidP="00D13ABD">
      <w:pPr>
        <w:pStyle w:val="BlockText"/>
        <w:numPr>
          <w:ilvl w:val="3"/>
          <w:numId w:val="1"/>
        </w:numPr>
        <w:tabs>
          <w:tab w:val="clear" w:pos="3120"/>
          <w:tab w:val="num" w:pos="2694"/>
        </w:tabs>
        <w:ind w:left="2694" w:hanging="993"/>
      </w:pPr>
      <w:r>
        <w:t>nodots kaimiņiecirknim (pienāca šķirošanas vai iecirkņa stacijā) ar nokavēšanos saskaņā ar grafiku – "caurbraucis (pienācis) ar nokavēšanos".</w:t>
      </w:r>
    </w:p>
    <w:p w:rsidR="00D13ABD" w:rsidRDefault="00D13ABD">
      <w:pPr>
        <w:pStyle w:val="BlockText"/>
        <w:ind w:left="1701"/>
        <w:rPr>
          <w:sz w:val="28"/>
          <w:szCs w:val="28"/>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lastRenderedPageBreak/>
        <w:t>Tālsatiksmē ātro pasažieru vilcienu, iekšzemes satiksmē dīzeļvilcienu un elektrovilcienu nosūtīšanas uzskaite:</w:t>
      </w:r>
    </w:p>
    <w:p w:rsidR="00D13ABD" w:rsidRDefault="00D13ABD">
      <w:pPr>
        <w:ind w:right="42"/>
        <w:jc w:val="both"/>
        <w:rPr>
          <w:rFonts w:ascii="Arial" w:hAnsi="Arial" w:cs="Arial"/>
          <w:b/>
          <w:bCs/>
          <w:sz w:val="12"/>
          <w:szCs w:val="12"/>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Par nosūtītu pēc saraksta uzskaita vilcienu, kas no formēšanas (sastāva apgrozības) stacijas aizbraucis saskaņā ar vilcienu kustības grafiku vai pēc īpaša rīkojuma saraksta.</w:t>
      </w:r>
    </w:p>
    <w:p w:rsidR="00D13ABD" w:rsidRDefault="00D13ABD">
      <w:pPr>
        <w:ind w:right="42"/>
        <w:jc w:val="both"/>
        <w:rPr>
          <w:rFonts w:ascii="Arial" w:hAnsi="Arial" w:cs="Arial"/>
          <w:color w:val="FF0000"/>
          <w:sz w:val="28"/>
          <w:szCs w:val="28"/>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Tālsatiksmē ātro pasažieru vilcienu, iekšzemes satiksmē dīzeļvilcienu un elektrovilcienu caurbraukšanas uzskaite:</w:t>
      </w:r>
    </w:p>
    <w:p w:rsidR="00D13ABD" w:rsidRDefault="00D13ABD">
      <w:pPr>
        <w:ind w:right="42"/>
        <w:jc w:val="both"/>
        <w:rPr>
          <w:rFonts w:ascii="Arial" w:hAnsi="Arial" w:cs="Arial"/>
          <w:b/>
          <w:bCs/>
          <w:sz w:val="12"/>
          <w:szCs w:val="12"/>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Vilciens caurbraucis dispečeriecirkni (Vilcienu kustības organizācijas daļu, dzelzceļu) pēc saraksta, ja tas: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nosūtīts no formēšanas (sastāva apgrozības) stacijas vai pieņemts no kaimiņu dispečeriecirkņa (dzelzceļa) pēc saraksta vai ar nokavēšanos, bet pienācis galastacijā (sastāva apgrozības stacijā) vai nodots kaimiņu dispečeriecirknim (Vilcienu kustības organizācijas daļai, dzelzceļam) pēc saraksta;</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Vilciens caurbraucis dispečeriecirkni (Vilcienu kustības organizācijas daļu, dzelzceļu) ar nokavēšanos, ja tas: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nosūtīts pēc saraksta vai ar nokavēšanos no formēšanas (sastāva apgrozības) stacijas un pienācis galastacijā vai nodots kaimiņu dispečeriecirknim ar nokavēšanos;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pēc saraksta pienācis dispečeriecirknī (uz dzelzceļa) un ar nokavēšanos pienācis galastacijā vai nodots kaimiņu dispečeriecirknim (dzelzceļam);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ar nokavēšanos pienācis dispečeriecirknī  (Vilcienu kustības organizācijas daļas, dzelzceļa) un pienācis galastacijā vai nodots kaimiņu dispečeriecirknim (dzelzceļam), palielinot kavējuma laiku.</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Piezīmes: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starptautiskās satiksmes vilcieni, kuri pienākuši dispečeriecirknī (Vilcienu kustības organizācijas daļā, dzelzceļā) ar nokavēšanos un pienākuši galastacijā (sastāva apgrozības stacijā) vai nodoti kaimiņu dispečeriecirknim (Vilcienu kustības organizācijas daļai, dzelzceļam) nepalielinot kavējumu, jāuzskaita kā caurbraukuši doto iecirkni pēc saraksta (vilcienu kustības organizācijas daļā, dispečeriecirknī un kopumā pa dzelzceļu), bet pirmajā dispečeriecirknī (Vilcienu kustības organizācijas daļā), kas pieļāvis kavējumu – uzskaitīt ar nokavēšanos.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dīzeļvilcieni iekšzemes satiksmē, kuri ar nokavēšanos pienākuši no kaimiņu dispečeriecirkņa (Vilcienu kustības organizācijas daļas) un pienākuši galastacijā (sastāva apgrozības stacijā) vai nodoti kaimiņu dispečeriecirknim (Vilcienu kustības organizācijas daļai), nepalielinot kavējuma laiku, jāuzskaita kā caurbraukuši doto iecirkni pēc saraksta, bet pirmajā dispečeriecirknī (Vilcienu kustības organizācijas daļā), kas pieļāvis kavējumu – uzskaitīt ar nokavēšanos.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elektrovilcieni iekšzemes satiksmē, kuri ar nokavēšanos pienākuši galastacijā (sastāva apgrozības stacijā), jāuzskaita kā caurbraukuši doto iecirkni ar nokavēšanos.</w:t>
      </w:r>
    </w:p>
    <w:p w:rsidR="00D13ABD" w:rsidRDefault="00D13ABD">
      <w:pPr>
        <w:pStyle w:val="BodyTextIndent3"/>
        <w:ind w:left="426" w:right="42" w:firstLine="0"/>
        <w:jc w:val="both"/>
        <w:rPr>
          <w:b w:val="0"/>
          <w:bCs w:val="0"/>
          <w:sz w:val="28"/>
          <w:szCs w:val="28"/>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Tālsatiksmē ātro pasažieru vilcienu un iekšzemes satiksmē dīzeļvilcienu pienākšanas uzskaite:</w:t>
      </w:r>
    </w:p>
    <w:p w:rsidR="00D13ABD" w:rsidRDefault="00D13ABD">
      <w:pPr>
        <w:ind w:right="42"/>
        <w:jc w:val="both"/>
        <w:rPr>
          <w:rFonts w:ascii="Arial" w:hAnsi="Arial" w:cs="Arial"/>
          <w:b/>
          <w:bCs/>
          <w:sz w:val="8"/>
          <w:szCs w:val="8"/>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Vilciens tiek uzskaitīts par pienākušu pēc saraksta, ja tas pienācis galastacijā (sastāva apgrozības stacijā) atbilstoši sarakstam vai saskaņā ar  īpašu rīkojumu par izmaiņām sarakstā.</w:t>
      </w:r>
    </w:p>
    <w:p w:rsidR="00D13ABD" w:rsidRDefault="00D13ABD">
      <w:pPr>
        <w:ind w:right="42"/>
        <w:jc w:val="both"/>
        <w:rPr>
          <w:rFonts w:ascii="Arial" w:hAnsi="Arial" w:cs="Arial"/>
          <w:sz w:val="8"/>
          <w:szCs w:val="8"/>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lastRenderedPageBreak/>
        <w:t>Par pasažieru vilciena pienākšanu uzskaita tā apstāšanos uz ceļa pie perona, lai pasažieri izkāptu vai iekāptu.</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Izpildītā vilcienu kustības grafika uzskaitē un analīzē ar nokavēšanos pienākošo vilcienu skaitam jābūt vienādam vai mazākam par vilcienu skaitu, kas nokavējuši caurbraucot. Ja norādītie dati atšķiras, inženierim analizētājam jāatrod tā iemesls un jānodrošina visu caurbraukšanā nokavēto vilcienu uzskaite.</w:t>
      </w:r>
    </w:p>
    <w:p w:rsidR="00D13ABD" w:rsidRDefault="00D13ABD">
      <w:pPr>
        <w:ind w:right="42"/>
        <w:jc w:val="both"/>
        <w:rPr>
          <w:rFonts w:ascii="Arial" w:hAnsi="Arial" w:cs="Arial"/>
          <w:sz w:val="28"/>
          <w:szCs w:val="28"/>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Kravas vilcienu nosūtīšanas uzskaite:</w:t>
      </w:r>
    </w:p>
    <w:p w:rsidR="00D13ABD" w:rsidRDefault="00D13ABD">
      <w:pPr>
        <w:ind w:right="42" w:firstLine="567"/>
        <w:jc w:val="both"/>
        <w:rPr>
          <w:rFonts w:ascii="Arial" w:hAnsi="Arial" w:cs="Arial"/>
          <w:sz w:val="24"/>
          <w:szCs w:val="24"/>
          <w:lang w:val="lv-LV"/>
        </w:rPr>
      </w:pPr>
      <w:r>
        <w:rPr>
          <w:rFonts w:ascii="Arial" w:hAnsi="Arial" w:cs="Arial"/>
          <w:sz w:val="24"/>
          <w:szCs w:val="24"/>
          <w:lang w:val="lv-LV"/>
        </w:rPr>
        <w:t>No formēšanas stacijas pēc saraksta nosūtītu vilcienu uzskaita, ja tas paredzēts koriģētajā (ik pēc 4-6 stundām) vilcienu kustības maiņas plānā un nosūtīts: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pēc grafikā paredzētā saraksta;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saskaņā ar dispečera rīkojumu;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apsteidzot grafikā paredzēto sarakstu, kas paredzēts spēkā esošajā vilcienu kustības grafikā vai dispečersarakstā un nodots kaimiņu dispečeriecirknim (Vilcienu kustības organizācijas daļai, dzelzceļam) vai pienācis galastacijā (sastāva apgrozības stacijā) ne vēlāk kā paredzēts sarakstā.</w:t>
      </w:r>
    </w:p>
    <w:p w:rsidR="00D13ABD" w:rsidRDefault="00D13ABD">
      <w:pPr>
        <w:pStyle w:val="BodyTextIndent3"/>
        <w:ind w:left="426" w:right="42" w:firstLine="0"/>
        <w:jc w:val="both"/>
        <w:rPr>
          <w:b w:val="0"/>
          <w:bCs w:val="0"/>
          <w:sz w:val="28"/>
          <w:szCs w:val="28"/>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Kravas vilcienu caurbraukšanas uzskaite:</w:t>
      </w:r>
    </w:p>
    <w:p w:rsidR="00D13ABD" w:rsidRDefault="00D13ABD">
      <w:pPr>
        <w:ind w:right="42"/>
        <w:jc w:val="both"/>
        <w:rPr>
          <w:rFonts w:ascii="Arial" w:hAnsi="Arial" w:cs="Arial"/>
          <w:b/>
          <w:bCs/>
          <w:sz w:val="12"/>
          <w:szCs w:val="12"/>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sz w:val="24"/>
          <w:szCs w:val="24"/>
          <w:lang w:val="lv-LV"/>
        </w:rPr>
        <w:t>Pēc saraksta caurbraucis ir uzskaitāms vilciens, kas</w:t>
      </w:r>
    </w:p>
    <w:p w:rsidR="00D13ABD" w:rsidRDefault="00D13ABD">
      <w:pPr>
        <w:pStyle w:val="BodyTextIndent3"/>
        <w:ind w:left="851" w:right="42" w:hanging="425"/>
        <w:jc w:val="both"/>
        <w:rPr>
          <w:b w:val="0"/>
          <w:bCs w:val="0"/>
          <w:sz w:val="24"/>
          <w:szCs w:val="24"/>
        </w:rPr>
      </w:pPr>
      <w:r>
        <w:rPr>
          <w:b w:val="0"/>
          <w:bCs w:val="0"/>
          <w:sz w:val="24"/>
          <w:szCs w:val="24"/>
        </w:rPr>
        <w:t xml:space="preserve">      nosūtīts no formēšanas stacijas vai pieņemts no kaimiņu dispečeriecirkņa pēc saraksta, agrāk nekā sarakstā vai ar nokavēšanos un pienācis gala (izformēšanas, sastāva apgrozības) stacijā vai nodots kaimiņu dispečeriecirknim agrāk nekā sarakstā vai pēc saraksta.</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Par vilcienu, kas caurbraucis dispečeriecirkni, samazinot kavējumu, uzskaita vilcienu, kurš pienācis dispečeriecirknī ar nokavēšanos, bet pienācis gala (izformēšanas, sastāva apgrozības) stacijā vai nodots kaimiņu dispečeriecirknim, samazinot dotajā iecirknī grafika sarakstā paredzēto atrašanās laiku.</w:t>
      </w:r>
    </w:p>
    <w:p w:rsidR="00D13ABD" w:rsidRDefault="00D13ABD">
      <w:pPr>
        <w:ind w:right="42"/>
        <w:jc w:val="both"/>
        <w:rPr>
          <w:rFonts w:ascii="Arial" w:hAnsi="Arial" w:cs="Arial"/>
          <w:sz w:val="24"/>
          <w:szCs w:val="24"/>
          <w:lang w:val="lv-LV"/>
        </w:rPr>
      </w:pPr>
    </w:p>
    <w:p w:rsidR="00D13ABD" w:rsidRDefault="00D13ABD">
      <w:pPr>
        <w:ind w:right="42" w:firstLine="567"/>
        <w:jc w:val="both"/>
        <w:rPr>
          <w:rFonts w:ascii="Arial" w:hAnsi="Arial" w:cs="Arial"/>
          <w:sz w:val="24"/>
          <w:szCs w:val="24"/>
          <w:lang w:val="lv-LV"/>
        </w:rPr>
      </w:pPr>
      <w:r>
        <w:rPr>
          <w:rFonts w:ascii="Arial" w:hAnsi="Arial" w:cs="Arial"/>
          <w:sz w:val="24"/>
          <w:szCs w:val="24"/>
          <w:lang w:val="lv-LV"/>
        </w:rPr>
        <w:t>Piezīmes: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tranzītvilciena atrašanās laikā dotajā iecirknī ieskaita laiku starp pirmās un pēdējās stacijas šķērsošanu, kā arī atrašanos šajās un robežstacijās (starp Vilcienu kustības organizācijas daļām un dzelzceļiem), kuras ietilpst dotajā  dispečeriecirknī;</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ja vilcieni pienākuši dotā dispečeriecirkņa gala (izformēšanas, sastāva apgrozības) stacijā, atrašanās laiku šajā iecirknī uzskaita no vilciena pienākšanas brīža dispečeriecirknī līdz pienākšanas brīdim gala (izformēšanas, sastāva apgrozības) stacijā, ieskaitot atrašanās laiku arī iecirkņa pirmajā stacijā.</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Vilciens caurbraucis ar nokavēšanos, ja tas: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nosūtīts no formēšanas stacijas vai pienācis dispečeriecirknī pēc saraksta (vai to apsteidzot), bet ar nokavēšanos pienācis gala (izformēšanas, sastāva apgrozības) stacijā vai nodots kaimiņu dispečeriecirknim;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nosūtīts no formēšanas stacijas ar nokavēšanos un ar nokavēšanos pienācis gala (izformēšanas, sastāva apgrozības) stacijā vai nodots kaimiņu dispečeriecirknim;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pienācis no kaimiņu dispečeriecirkņa ar nokavēšanos un nav samazinājis (vai arī palielinājis) atrašanās laiku iecirknī, salīdzinot ar grafika sarakstu, pēc kura (vai apsteidzot to) vilciens pienāca.</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lastRenderedPageBreak/>
        <w:t>Nepieciešamības gadījumos Vilcienu kustības organizācijas daļas dispečeriecirkņos nosaka kravas vilcienu kustības grafika "aizpildes" līmeni procentos. Dispečeriecirkņa robežās šo rādītāju aprēķina, dalot faktiski caurbraukušo kravas vilcienu skaitu mēnesī ar kravas vilcienu skaitu spēkā esošajā vilcienu kustības grafikā.</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 xml:space="preserve">Pēc saraksta pienākušu uzskaita vilcienu, kas pienācis gala- stacijā atbilstoši sarakstam. </w:t>
      </w:r>
    </w:p>
    <w:p w:rsidR="00D13ABD" w:rsidRDefault="00D13ABD">
      <w:pPr>
        <w:ind w:right="42"/>
        <w:jc w:val="both"/>
        <w:rPr>
          <w:rFonts w:ascii="Arial" w:hAnsi="Arial" w:cs="Arial"/>
          <w:sz w:val="22"/>
          <w:szCs w:val="22"/>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Par vilciena pienākšanas brīdi dispečeriecirknī (Vilcienu kustības organizācijas daļā, dzelzceļā) uzskaita:</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vilciena pienākšanas laiku dispečeriecirkņa (Vilcienu kustības organizācijas daļas, dzelzceļa) robežstacijā, ja tā pieder dotajam vilcienu dispečeriecirknim (Vilcienu kustības organizācijas daļai, dzelzceļam);</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vilciena nosūtīšanas laiku no kaimiņu dispečeriecirkņa (Vilcienu kustības organizācijas daļas, dzelzceļa) robežstacijas, ja tā pieder kaimiņu dispečeriecirknim (Vilcienu kustības organizācijas daļai, dzelzceļam).</w:t>
      </w:r>
    </w:p>
    <w:p w:rsidR="00D13ABD" w:rsidRDefault="00D13ABD">
      <w:pPr>
        <w:ind w:right="42"/>
        <w:jc w:val="both"/>
        <w:rPr>
          <w:rFonts w:ascii="Arial" w:hAnsi="Arial" w:cs="Arial"/>
          <w:sz w:val="22"/>
          <w:szCs w:val="22"/>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Par vilciena nodošanas brīdi tuvākajam dispečeriecirknim (Vilcienu kustības organizācijas daļai, dzelzceļam) uzskaita:</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vilciena pienākšanas laiku kaimiņu dispečeriecirkņa (Vilcienu kustības organizācijas daļas, dzelzceļa) robežstacijā, ja tā pieder kaimiņu dispečeriecirknim (Vilcienu kustības organizācijas daļai, dzelzceļam);</w:t>
      </w:r>
    </w:p>
    <w:p w:rsidR="00D13ABD" w:rsidRDefault="00D13ABD" w:rsidP="00D13ABD">
      <w:pPr>
        <w:numPr>
          <w:ilvl w:val="2"/>
          <w:numId w:val="1"/>
        </w:numPr>
        <w:tabs>
          <w:tab w:val="clear" w:pos="2760"/>
          <w:tab w:val="num" w:pos="1985"/>
        </w:tabs>
        <w:ind w:left="0" w:right="42" w:firstLine="1134"/>
        <w:jc w:val="both"/>
        <w:rPr>
          <w:rFonts w:ascii="Arial" w:hAnsi="Arial" w:cs="Arial"/>
          <w:sz w:val="24"/>
          <w:szCs w:val="24"/>
          <w:lang w:val="lv-LV"/>
        </w:rPr>
      </w:pPr>
      <w:r>
        <w:rPr>
          <w:rFonts w:ascii="Arial" w:hAnsi="Arial" w:cs="Arial"/>
          <w:sz w:val="24"/>
          <w:szCs w:val="24"/>
          <w:lang w:val="lv-LV"/>
        </w:rPr>
        <w:t>vilciena nosūtīšanas laiku no dispečeriecirkņa (Vilcienu kustības organizācijas daļas, dzelzceļa) robežstacijas, ja tā pieder attiecīgajam dispečeriecirknim (Vilcienu kustības organizācijas daļai, dzelzceļam).</w:t>
      </w:r>
    </w:p>
    <w:p w:rsidR="00D13ABD" w:rsidRDefault="00D13ABD">
      <w:pPr>
        <w:ind w:right="42"/>
        <w:jc w:val="both"/>
        <w:rPr>
          <w:rFonts w:ascii="Arial" w:hAnsi="Arial" w:cs="Arial"/>
          <w:sz w:val="22"/>
          <w:szCs w:val="22"/>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Vilcienu kustību uzskaita pa satiksmes veidiem saskaņā ar grafikā noteikto:</w:t>
      </w: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Tālsatiksmē ātros pasažieru vilcienus: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nosūtot no formēšanas (sastāva apgrozības) stacijas;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caurbraucot Vilcienu kustības organizācijas daļas dispečeriecirkņus un šķērsojot dzelzceļa robežpunktus;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pienākot galastacijā (sastāva apgrozības stacijā).</w:t>
      </w: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Iekšzemes satiksmē dīzeļvilcienus: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nosūtot no formēšanas (sastāva apgrozības) stacijas;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caurbraucot Vilcienu kustības organizācijas daļas dispečeriecirkņus;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pienākot galastacijā (sastāva apgrozības stacijā).</w:t>
      </w: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Iekšzemes satiksmē elektrovilcienus: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nosūtot no formēšanas (sastāva apgrozības) stacijas;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caurbraucot Vilcienu kustības organizācijas daļas dispečeriecirkņi.</w:t>
      </w:r>
    </w:p>
    <w:p w:rsidR="00D13ABD" w:rsidRDefault="00D13ABD" w:rsidP="00D13ABD">
      <w:pPr>
        <w:numPr>
          <w:ilvl w:val="2"/>
          <w:numId w:val="1"/>
        </w:numPr>
        <w:tabs>
          <w:tab w:val="clear" w:pos="2760"/>
          <w:tab w:val="num" w:pos="1985"/>
        </w:tabs>
        <w:ind w:left="1985" w:right="42" w:hanging="851"/>
        <w:jc w:val="both"/>
        <w:rPr>
          <w:rFonts w:ascii="Arial" w:hAnsi="Arial" w:cs="Arial"/>
          <w:b/>
          <w:bCs/>
          <w:sz w:val="24"/>
          <w:szCs w:val="24"/>
          <w:lang w:val="lv-LV"/>
        </w:rPr>
      </w:pPr>
      <w:r>
        <w:rPr>
          <w:rFonts w:ascii="Arial" w:hAnsi="Arial" w:cs="Arial"/>
          <w:b/>
          <w:bCs/>
          <w:sz w:val="24"/>
          <w:szCs w:val="24"/>
          <w:lang w:val="lv-LV"/>
        </w:rPr>
        <w:t>Kravas vilcienus: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nosūtot no formēšanas stacijas;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caurbraucot Vilcienu kustības organizācijas daļas dispečeriecirkņus un šķērsojot dzelzceļa robežpunktus.</w:t>
      </w:r>
    </w:p>
    <w:p w:rsidR="00D13ABD" w:rsidRDefault="00D13ABD">
      <w:pPr>
        <w:pStyle w:val="BodyTextIndent3"/>
        <w:ind w:left="426" w:right="42" w:firstLine="0"/>
        <w:jc w:val="both"/>
        <w:rPr>
          <w:b w:val="0"/>
          <w:bCs w:val="0"/>
          <w:sz w:val="22"/>
          <w:szCs w:val="22"/>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Pasažieru un kravas vilcienu kustības izpildītā grafika uzskaites pamatrādītāji: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saskaņā ar sarakstu nosūtīto vilcienu īpatsvars,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saskaņā ar sarakstu caurbraukušo vilcienu īpatsvars,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kravas vilcienu īpatsvars, kuri caurbraukuši samazinot kavējumu,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galastacijā (sastāva apgrozības stacijā) saskaņā ar sarakstu pienākušo pasažieru vilcienu īpatsvars, %.</w:t>
      </w: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lastRenderedPageBreak/>
        <w:t>Saimniecības vilcienu un izvedvilcienu kustības grafika izpildi uzskaita Vilcienu kustības organizācijas daļās saskaņā ar vispārīgiem noteikumiem, bet atsevišķi šīs uzskaites datus izmanto, analizējot vilcienu darbu Vilcienu kustības organizācijas daļās, un tos neiekļauj Direkcijai iesniedzamajā pārskatā.</w:t>
      </w:r>
    </w:p>
    <w:p w:rsidR="00D13ABD" w:rsidRDefault="00D13ABD">
      <w:pPr>
        <w:ind w:right="42"/>
        <w:jc w:val="both"/>
        <w:rPr>
          <w:rFonts w:ascii="Arial" w:hAnsi="Arial" w:cs="Arial"/>
          <w:color w:val="000000"/>
          <w:sz w:val="24"/>
          <w:szCs w:val="24"/>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Pasažieru un kravas vilcienu caurbraukšanu saskaņā ar grafiku uzskaita nepārtraukti visā to kustības ceļā no formēšanas (sastāva apgrozības) līdz gala, izformēšanas, apgrozības vai ar atsevišķu rīkojumu noteiktajai stacijai (ja kravas vilciens tiek aizturēts galastacijas nepieņemšanas dēļ), ieskaitot atrašanās laiku dispečeriecirkņa sākuma un galastacijā, kā arī iecirkņa šķirošanas un robežstacijās starp Vilcienu kustības organizācijas daļu iecirkņiem un ārvalstu dzelzceļiem.</w:t>
      </w:r>
    </w:p>
    <w:p w:rsidR="0009540B" w:rsidRDefault="0009540B" w:rsidP="0009540B">
      <w:pPr>
        <w:ind w:right="42" w:firstLine="709"/>
        <w:jc w:val="both"/>
        <w:rPr>
          <w:rFonts w:ascii="Arial" w:hAnsi="Arial" w:cs="Arial"/>
          <w:b/>
          <w:sz w:val="24"/>
          <w:szCs w:val="24"/>
          <w:lang w:val="lv-LV"/>
        </w:rPr>
      </w:pPr>
      <w:r w:rsidRPr="0009540B">
        <w:rPr>
          <w:rFonts w:ascii="Arial" w:hAnsi="Arial" w:cs="Arial"/>
          <w:b/>
          <w:sz w:val="24"/>
          <w:szCs w:val="24"/>
          <w:lang w:val="lv-LV"/>
        </w:rPr>
        <w:t>2.13.</w:t>
      </w:r>
      <w:r w:rsidRPr="0009540B">
        <w:rPr>
          <w:rFonts w:ascii="Arial" w:hAnsi="Arial" w:cs="Arial"/>
          <w:sz w:val="24"/>
          <w:szCs w:val="24"/>
          <w:lang w:val="lv-LV"/>
        </w:rPr>
        <w:t>Vilciena numurs un indekss</w:t>
      </w:r>
      <w:r>
        <w:rPr>
          <w:rFonts w:ascii="Arial" w:hAnsi="Arial" w:cs="Arial"/>
          <w:b/>
          <w:sz w:val="24"/>
          <w:szCs w:val="24"/>
          <w:lang w:val="lv-LV"/>
        </w:rPr>
        <w:t>:</w:t>
      </w:r>
      <w:r w:rsidRPr="0009540B">
        <w:rPr>
          <w:rFonts w:ascii="Arial" w:hAnsi="Arial" w:cs="Arial"/>
          <w:b/>
          <w:sz w:val="24"/>
          <w:szCs w:val="24"/>
          <w:lang w:val="lv-LV"/>
        </w:rPr>
        <w:t xml:space="preserve"> </w:t>
      </w:r>
    </w:p>
    <w:p w:rsidR="0009540B" w:rsidRPr="0009540B" w:rsidRDefault="0009540B" w:rsidP="0009540B">
      <w:pPr>
        <w:ind w:right="42" w:firstLine="709"/>
        <w:jc w:val="both"/>
        <w:rPr>
          <w:rFonts w:ascii="Arial" w:hAnsi="Arial" w:cs="Arial"/>
          <w:b/>
          <w:sz w:val="24"/>
          <w:szCs w:val="24"/>
          <w:lang w:val="lv-LV"/>
        </w:rPr>
      </w:pPr>
    </w:p>
    <w:p w:rsidR="0009540B" w:rsidRPr="0009540B" w:rsidRDefault="0009540B" w:rsidP="0009540B">
      <w:pPr>
        <w:ind w:right="42" w:firstLine="720"/>
        <w:jc w:val="both"/>
        <w:rPr>
          <w:rFonts w:ascii="Arial" w:hAnsi="Arial" w:cs="Arial"/>
          <w:sz w:val="24"/>
          <w:szCs w:val="24"/>
          <w:lang w:val="lv-LV"/>
        </w:rPr>
      </w:pPr>
      <w:r w:rsidRPr="0009540B">
        <w:rPr>
          <w:rFonts w:ascii="Arial" w:hAnsi="Arial" w:cs="Arial"/>
          <w:sz w:val="24"/>
          <w:szCs w:val="24"/>
          <w:lang w:val="lv-LV"/>
        </w:rPr>
        <w:t>2.13.1.Katram vilcienam, nosūtot to no formēšanas (sastāva apgrozības) stacijas, piešķir numuru, kurš saglabājas visā kustības laikā līdz gala (izformēšanas, sastāva apgrozības) stacijai vai stacijai, kur beidzas šī vilciena saraksts.</w:t>
      </w:r>
    </w:p>
    <w:p w:rsidR="0009540B" w:rsidRPr="0009540B" w:rsidRDefault="0009540B" w:rsidP="0009540B">
      <w:pPr>
        <w:tabs>
          <w:tab w:val="num" w:pos="2160"/>
        </w:tabs>
        <w:ind w:right="42" w:firstLine="720"/>
        <w:jc w:val="both"/>
        <w:rPr>
          <w:rFonts w:ascii="Arial" w:hAnsi="Arial" w:cs="Arial"/>
          <w:sz w:val="24"/>
          <w:szCs w:val="24"/>
          <w:lang w:val="lv-LV"/>
        </w:rPr>
      </w:pPr>
      <w:r w:rsidRPr="0009540B">
        <w:rPr>
          <w:rFonts w:ascii="Arial" w:hAnsi="Arial" w:cs="Arial"/>
          <w:sz w:val="24"/>
          <w:szCs w:val="24"/>
          <w:lang w:val="lv-LV"/>
        </w:rPr>
        <w:t>Vilciena numurs no pāra virziena uz nepāra virzienu (un otrādi) mainās vilcienu kustības grafikā noteiktajos punktos.</w:t>
      </w: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Katras vilcienu kategorijas vilcienu numuri tiek uzrādīti dienesta sarakstos.</w:t>
      </w:r>
    </w:p>
    <w:p w:rsidR="0009540B" w:rsidRPr="0009540B" w:rsidRDefault="0009540B" w:rsidP="0009540B">
      <w:pPr>
        <w:ind w:right="42" w:firstLine="720"/>
        <w:jc w:val="both"/>
        <w:rPr>
          <w:rFonts w:ascii="Arial" w:hAnsi="Arial" w:cs="Arial"/>
          <w:sz w:val="24"/>
          <w:szCs w:val="24"/>
          <w:lang w:val="lv-LV"/>
        </w:rPr>
      </w:pPr>
      <w:r w:rsidRPr="0009540B">
        <w:rPr>
          <w:rFonts w:ascii="Arial" w:hAnsi="Arial" w:cs="Arial"/>
          <w:sz w:val="24"/>
          <w:szCs w:val="24"/>
          <w:lang w:val="lv-LV"/>
        </w:rPr>
        <w:t>Šķirošanas vai iecirkņa stacijā pienākušam kravas tranzītvilcienam piešķir jaunu numuru šādos gadījumos:</w:t>
      </w:r>
    </w:p>
    <w:p w:rsidR="0009540B" w:rsidRPr="0009540B" w:rsidRDefault="0009540B" w:rsidP="0009540B">
      <w:pPr>
        <w:pStyle w:val="BodyTextIndent3"/>
        <w:numPr>
          <w:ilvl w:val="0"/>
          <w:numId w:val="4"/>
        </w:numPr>
        <w:tabs>
          <w:tab w:val="num" w:pos="851"/>
        </w:tabs>
        <w:ind w:left="851" w:right="42" w:hanging="425"/>
        <w:jc w:val="both"/>
        <w:rPr>
          <w:b w:val="0"/>
          <w:bCs w:val="0"/>
          <w:sz w:val="24"/>
          <w:szCs w:val="24"/>
        </w:rPr>
      </w:pPr>
      <w:r w:rsidRPr="0009540B">
        <w:rPr>
          <w:b w:val="0"/>
          <w:bCs w:val="0"/>
          <w:sz w:val="24"/>
          <w:szCs w:val="24"/>
        </w:rPr>
        <w:t>ja vilciens aizturēts šķirošanas vai iecirkņa stacijā vairāk par diennakti;</w:t>
      </w:r>
    </w:p>
    <w:p w:rsidR="0009540B" w:rsidRPr="0009540B" w:rsidRDefault="0009540B" w:rsidP="0009540B">
      <w:pPr>
        <w:pStyle w:val="BodyTextIndent3"/>
        <w:numPr>
          <w:ilvl w:val="0"/>
          <w:numId w:val="4"/>
        </w:numPr>
        <w:tabs>
          <w:tab w:val="num" w:pos="851"/>
        </w:tabs>
        <w:ind w:left="851" w:right="42" w:hanging="425"/>
        <w:jc w:val="both"/>
        <w:rPr>
          <w:b w:val="0"/>
          <w:bCs w:val="0"/>
          <w:sz w:val="24"/>
          <w:szCs w:val="24"/>
        </w:rPr>
      </w:pPr>
      <w:r w:rsidRPr="0009540B">
        <w:rPr>
          <w:b w:val="0"/>
          <w:bCs w:val="0"/>
          <w:sz w:val="24"/>
          <w:szCs w:val="24"/>
        </w:rPr>
        <w:t>ja vilciena numurs neatbilst tālākās kustības virzienam;</w:t>
      </w:r>
    </w:p>
    <w:p w:rsidR="0009540B" w:rsidRPr="0009540B" w:rsidRDefault="0009540B" w:rsidP="0009540B">
      <w:pPr>
        <w:pStyle w:val="BodyTextIndent3"/>
        <w:numPr>
          <w:ilvl w:val="0"/>
          <w:numId w:val="4"/>
        </w:numPr>
        <w:tabs>
          <w:tab w:val="num" w:pos="851"/>
        </w:tabs>
        <w:ind w:left="851" w:right="42" w:hanging="425"/>
        <w:jc w:val="both"/>
        <w:rPr>
          <w:b w:val="0"/>
          <w:bCs w:val="0"/>
          <w:sz w:val="24"/>
          <w:szCs w:val="24"/>
        </w:rPr>
      </w:pPr>
      <w:r w:rsidRPr="0009540B">
        <w:rPr>
          <w:b w:val="0"/>
          <w:bCs w:val="0"/>
          <w:sz w:val="24"/>
          <w:szCs w:val="24"/>
        </w:rPr>
        <w:t>ja vilciena galastacija ir Rīgas mezgla stacija (izņemot Šķirotavas staciju).</w:t>
      </w:r>
    </w:p>
    <w:p w:rsidR="0009540B" w:rsidRPr="0009540B" w:rsidRDefault="0009540B" w:rsidP="0009540B">
      <w:pPr>
        <w:pStyle w:val="BodyText2"/>
      </w:pPr>
      <w:r w:rsidRPr="0009540B">
        <w:tab/>
        <w:t xml:space="preserve">  Jauno numuru ieraksta izpildītajā vilcienu kustības grafikā, "Vilcienu kustības</w:t>
      </w:r>
      <w:r w:rsidRPr="0009540B">
        <w:rPr>
          <w:u w:val="single"/>
        </w:rPr>
        <w:t xml:space="preserve"> </w:t>
      </w:r>
      <w:r w:rsidRPr="0009540B">
        <w:t>žurnālā", vilciena natūrlapā.</w:t>
      </w:r>
    </w:p>
    <w:p w:rsidR="0009540B" w:rsidRPr="0009540B" w:rsidRDefault="0009540B" w:rsidP="0009540B">
      <w:pPr>
        <w:pStyle w:val="BodyTextIndent2"/>
        <w:rPr>
          <w:sz w:val="24"/>
          <w:szCs w:val="24"/>
        </w:rPr>
      </w:pPr>
      <w:r w:rsidRPr="0009540B">
        <w:rPr>
          <w:sz w:val="24"/>
          <w:szCs w:val="24"/>
        </w:rPr>
        <w:t>Aizliegts kravas vilcienam piešķirt numuru, neatbilstošu tā kategorijai, kā arī ceļā mainīt numuru, izņemot iepriekš minētajos gadījumos.</w:t>
      </w:r>
    </w:p>
    <w:p w:rsidR="0009540B" w:rsidRPr="0009540B" w:rsidRDefault="0009540B" w:rsidP="0009540B">
      <w:pPr>
        <w:ind w:firstLine="720"/>
        <w:jc w:val="both"/>
        <w:rPr>
          <w:rFonts w:ascii="Arial" w:hAnsi="Arial" w:cs="Arial"/>
          <w:bCs/>
          <w:sz w:val="24"/>
          <w:szCs w:val="24"/>
          <w:lang w:val="lv-LV"/>
        </w:rPr>
      </w:pPr>
    </w:p>
    <w:p w:rsidR="0009540B" w:rsidRPr="0009540B" w:rsidRDefault="0009540B" w:rsidP="0009540B">
      <w:pPr>
        <w:ind w:firstLine="720"/>
        <w:jc w:val="both"/>
        <w:rPr>
          <w:rFonts w:ascii="Arial" w:hAnsi="Arial" w:cs="Arial"/>
          <w:sz w:val="24"/>
          <w:szCs w:val="24"/>
          <w:lang w:val="lv-LV"/>
        </w:rPr>
      </w:pPr>
      <w:r w:rsidRPr="0009540B">
        <w:rPr>
          <w:rFonts w:ascii="Arial" w:hAnsi="Arial" w:cs="Arial"/>
          <w:bCs/>
          <w:sz w:val="24"/>
          <w:szCs w:val="24"/>
          <w:lang w:val="lv-LV"/>
        </w:rPr>
        <w:t>2.13.2.</w:t>
      </w:r>
      <w:r w:rsidRPr="0009540B">
        <w:rPr>
          <w:rFonts w:ascii="Arial" w:hAnsi="Arial" w:cs="Arial"/>
          <w:sz w:val="24"/>
          <w:szCs w:val="24"/>
          <w:lang w:val="lv-LV"/>
        </w:rPr>
        <w:t xml:space="preserve">Formēšanas stacijā kravas vilcienam, saimniecības vilcienam un rezerves lokomotīvēm ar vai bez vagoniem piešķir indeksu. </w:t>
      </w: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Indekss ir īpašs kods, kas sastāv no 11 cipariem, no kuriem:</w:t>
      </w: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 xml:space="preserve">- pirmie 4 ir formēšanas stacijas vienotā tīkla apzīmējuma (VTA) šifrs – </w:t>
      </w:r>
      <w:r w:rsidRPr="0009540B">
        <w:rPr>
          <w:rFonts w:ascii="Arial" w:hAnsi="Arial" w:cs="Arial"/>
          <w:b/>
          <w:sz w:val="24"/>
          <w:szCs w:val="24"/>
          <w:lang w:val="lv-LV"/>
        </w:rPr>
        <w:t>1.</w:t>
      </w:r>
      <w:r w:rsidRPr="0009540B">
        <w:rPr>
          <w:rFonts w:ascii="Arial" w:hAnsi="Arial" w:cs="Arial"/>
          <w:sz w:val="24"/>
          <w:szCs w:val="24"/>
          <w:lang w:val="lv-LV"/>
        </w:rPr>
        <w:t xml:space="preserve"> </w:t>
      </w:r>
      <w:r w:rsidRPr="0009540B">
        <w:rPr>
          <w:rFonts w:ascii="Arial" w:hAnsi="Arial" w:cs="Arial"/>
          <w:b/>
          <w:sz w:val="24"/>
          <w:szCs w:val="24"/>
          <w:lang w:val="lv-LV"/>
        </w:rPr>
        <w:t xml:space="preserve">ciparu grupa </w:t>
      </w:r>
      <w:r w:rsidRPr="0009540B">
        <w:rPr>
          <w:rFonts w:ascii="Arial" w:hAnsi="Arial" w:cs="Arial"/>
          <w:sz w:val="24"/>
          <w:szCs w:val="24"/>
          <w:lang w:val="lv-LV"/>
        </w:rPr>
        <w:t>(rezerves lokomotīvei 1. ciparu grupa ir „0001”);</w:t>
      </w: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 xml:space="preserve">- nākamie 3 cipari ir šai stacijā saformētā sastāva kārtas numurs - </w:t>
      </w:r>
      <w:r w:rsidRPr="0009540B">
        <w:rPr>
          <w:rFonts w:ascii="Arial" w:hAnsi="Arial" w:cs="Arial"/>
          <w:b/>
          <w:sz w:val="24"/>
          <w:szCs w:val="24"/>
          <w:lang w:val="lv-LV"/>
        </w:rPr>
        <w:t>2. ciparu grupa</w:t>
      </w:r>
      <w:r w:rsidRPr="0009540B">
        <w:rPr>
          <w:rFonts w:ascii="Arial" w:hAnsi="Arial" w:cs="Arial"/>
          <w:sz w:val="24"/>
          <w:szCs w:val="24"/>
          <w:lang w:val="lv-LV"/>
        </w:rPr>
        <w:t>;</w:t>
      </w: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 xml:space="preserve">- pēdējie 4 cipari ir galastacijas VTA šifrs – </w:t>
      </w:r>
      <w:r w:rsidRPr="0009540B">
        <w:rPr>
          <w:rFonts w:ascii="Arial" w:hAnsi="Arial" w:cs="Arial"/>
          <w:b/>
          <w:sz w:val="24"/>
          <w:szCs w:val="24"/>
          <w:lang w:val="lv-LV"/>
        </w:rPr>
        <w:t>3. ciparu grupa</w:t>
      </w:r>
      <w:r w:rsidRPr="0009540B">
        <w:rPr>
          <w:rFonts w:ascii="Arial" w:hAnsi="Arial" w:cs="Arial"/>
          <w:sz w:val="24"/>
          <w:szCs w:val="24"/>
          <w:lang w:val="lv-LV"/>
        </w:rPr>
        <w:t xml:space="preserve">. </w:t>
      </w:r>
    </w:p>
    <w:p w:rsidR="0009540B" w:rsidRPr="0009540B" w:rsidRDefault="0009540B" w:rsidP="0009540B">
      <w:pPr>
        <w:ind w:firstLine="360"/>
        <w:jc w:val="both"/>
        <w:rPr>
          <w:rFonts w:ascii="Arial" w:hAnsi="Arial" w:cs="Arial"/>
          <w:sz w:val="24"/>
          <w:szCs w:val="24"/>
          <w:lang w:val="lv-LV"/>
        </w:rPr>
      </w:pP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 xml:space="preserve">Pirmās divas ciparu grupas nemainās līdz vilciena izformēšanai. Indeksa 3. ciparu grupa mainās šādos gadījumos: </w:t>
      </w:r>
    </w:p>
    <w:p w:rsidR="0009540B" w:rsidRPr="0009540B" w:rsidRDefault="0009540B" w:rsidP="0009540B">
      <w:pPr>
        <w:numPr>
          <w:ilvl w:val="0"/>
          <w:numId w:val="3"/>
        </w:numPr>
        <w:jc w:val="both"/>
        <w:rPr>
          <w:rFonts w:ascii="Arial" w:hAnsi="Arial" w:cs="Arial"/>
          <w:sz w:val="24"/>
          <w:szCs w:val="24"/>
          <w:lang w:val="lv-LV"/>
        </w:rPr>
      </w:pPr>
      <w:r w:rsidRPr="0009540B">
        <w:rPr>
          <w:rFonts w:ascii="Arial" w:hAnsi="Arial" w:cs="Arial"/>
          <w:sz w:val="24"/>
          <w:szCs w:val="24"/>
          <w:lang w:val="lv-LV"/>
        </w:rPr>
        <w:t xml:space="preserve">ja vilciens netiek izformēts indeksam atbilstošajā stacijā un turpina kustību līdz jaunai </w:t>
      </w:r>
      <w:r w:rsidRPr="0009540B">
        <w:rPr>
          <w:rFonts w:ascii="Arial" w:hAnsi="Arial" w:cs="Arial"/>
          <w:iCs/>
          <w:sz w:val="24"/>
          <w:szCs w:val="24"/>
          <w:lang w:val="lv-LV"/>
        </w:rPr>
        <w:t xml:space="preserve">nozīmēšanas </w:t>
      </w:r>
      <w:r w:rsidRPr="0009540B">
        <w:rPr>
          <w:rFonts w:ascii="Arial" w:hAnsi="Arial" w:cs="Arial"/>
          <w:sz w:val="24"/>
          <w:szCs w:val="24"/>
          <w:lang w:val="lv-LV"/>
        </w:rPr>
        <w:t>stacijai</w:t>
      </w:r>
      <w:r w:rsidRPr="0009540B">
        <w:rPr>
          <w:rStyle w:val="FootnoteReference"/>
          <w:rFonts w:ascii="Arial" w:hAnsi="Arial" w:cs="Arial"/>
          <w:iCs/>
          <w:sz w:val="24"/>
          <w:szCs w:val="24"/>
          <w:lang w:val="lv-LV"/>
        </w:rPr>
        <w:t xml:space="preserve"> </w:t>
      </w:r>
      <w:r w:rsidRPr="0009540B">
        <w:rPr>
          <w:rStyle w:val="FootnoteReference"/>
          <w:rFonts w:ascii="Arial" w:hAnsi="Arial" w:cs="Arial"/>
          <w:sz w:val="24"/>
          <w:szCs w:val="24"/>
          <w:lang w:val="lv-LV"/>
        </w:rPr>
        <w:footnoteReference w:customMarkFollows="1" w:id="1"/>
        <w:sym w:font="Symbol" w:char="F02A"/>
      </w:r>
      <w:r w:rsidRPr="0009540B">
        <w:rPr>
          <w:rFonts w:ascii="Arial" w:hAnsi="Arial" w:cs="Arial"/>
          <w:sz w:val="24"/>
          <w:szCs w:val="24"/>
          <w:lang w:val="lv-LV"/>
        </w:rPr>
        <w:t>, ar nosacījumu, ka sākotnējai nozīmēšanas stacijai vilciens pilnībā atbilst tranzītvilciena definīcijai;</w:t>
      </w:r>
    </w:p>
    <w:p w:rsidR="0009540B" w:rsidRPr="0009540B" w:rsidRDefault="0009540B" w:rsidP="0009540B">
      <w:pPr>
        <w:numPr>
          <w:ilvl w:val="0"/>
          <w:numId w:val="3"/>
        </w:numPr>
        <w:jc w:val="both"/>
        <w:rPr>
          <w:rFonts w:ascii="Arial" w:hAnsi="Arial" w:cs="Arial"/>
          <w:sz w:val="24"/>
          <w:szCs w:val="24"/>
          <w:lang w:val="lv-LV"/>
        </w:rPr>
      </w:pPr>
      <w:r w:rsidRPr="0009540B">
        <w:rPr>
          <w:rFonts w:ascii="Arial" w:hAnsi="Arial" w:cs="Arial"/>
          <w:sz w:val="24"/>
          <w:szCs w:val="24"/>
          <w:lang w:val="lv-LV"/>
        </w:rPr>
        <w:t>ja pienākušam vilcienam stacijā ir nepieciešams veikt kādu no operācijām, kas minētas  2.13.4.2. punktā.</w:t>
      </w:r>
    </w:p>
    <w:p w:rsidR="0009540B" w:rsidRPr="0009540B" w:rsidRDefault="0009540B" w:rsidP="0009540B">
      <w:pPr>
        <w:ind w:left="360"/>
        <w:jc w:val="both"/>
        <w:rPr>
          <w:rFonts w:ascii="Arial" w:hAnsi="Arial" w:cs="Arial"/>
          <w:sz w:val="24"/>
          <w:szCs w:val="24"/>
          <w:lang w:val="lv-LV"/>
        </w:rPr>
      </w:pPr>
    </w:p>
    <w:p w:rsidR="0009540B" w:rsidRPr="0009540B" w:rsidRDefault="0009540B" w:rsidP="0009540B">
      <w:pPr>
        <w:ind w:right="42" w:firstLine="720"/>
        <w:jc w:val="both"/>
        <w:rPr>
          <w:rFonts w:ascii="Arial" w:hAnsi="Arial" w:cs="Arial"/>
          <w:sz w:val="24"/>
          <w:szCs w:val="24"/>
          <w:lang w:val="lv-LV"/>
        </w:rPr>
      </w:pPr>
      <w:r w:rsidRPr="0009540B">
        <w:rPr>
          <w:rFonts w:ascii="Arial" w:hAnsi="Arial" w:cs="Arial"/>
          <w:sz w:val="24"/>
          <w:szCs w:val="24"/>
          <w:lang w:val="lv-LV"/>
        </w:rPr>
        <w:lastRenderedPageBreak/>
        <w:t xml:space="preserve">2.13.3. Vilciena numuru un indeksu uzrāda Vilciena natūrlapā un izpildītā Vilcienu kustības grafikā.  </w:t>
      </w:r>
    </w:p>
    <w:p w:rsidR="0009540B" w:rsidRPr="0009540B" w:rsidRDefault="0009540B" w:rsidP="0009540B">
      <w:pPr>
        <w:ind w:right="42" w:firstLine="720"/>
        <w:jc w:val="both"/>
        <w:rPr>
          <w:rFonts w:ascii="Arial" w:hAnsi="Arial" w:cs="Arial"/>
          <w:sz w:val="24"/>
          <w:szCs w:val="24"/>
          <w:lang w:val="lv-LV"/>
        </w:rPr>
      </w:pPr>
      <w:r w:rsidRPr="0009540B">
        <w:rPr>
          <w:rFonts w:ascii="Arial" w:hAnsi="Arial" w:cs="Arial"/>
          <w:sz w:val="24"/>
          <w:szCs w:val="24"/>
          <w:lang w:val="lv-LV"/>
        </w:rPr>
        <w:t>Vilcienam piešķirtie numuri (vienā dispečeriecirknī) un indekss diennakts laikā nedrīkst atkārtoties.</w:t>
      </w:r>
    </w:p>
    <w:p w:rsidR="0009540B" w:rsidRPr="0009540B" w:rsidRDefault="0009540B" w:rsidP="0009540B">
      <w:pPr>
        <w:pStyle w:val="BodyText2"/>
        <w:rPr>
          <w:b/>
        </w:rPr>
      </w:pPr>
    </w:p>
    <w:p w:rsidR="0009540B" w:rsidRPr="0009540B" w:rsidRDefault="0009540B" w:rsidP="0009540B">
      <w:pPr>
        <w:pStyle w:val="BodyText2"/>
        <w:ind w:firstLine="720"/>
      </w:pPr>
      <w:r w:rsidRPr="0009540B">
        <w:t xml:space="preserve">2.13.4. Uzskaites stacijās kravas vilcieni tiek uzskaitīti kā tranzītvilcieni, saformēti un izformēti vilcieni: </w:t>
      </w:r>
    </w:p>
    <w:p w:rsidR="0009540B" w:rsidRPr="0009540B" w:rsidRDefault="0009540B" w:rsidP="0009540B">
      <w:pPr>
        <w:pStyle w:val="BodyText2"/>
        <w:ind w:firstLine="720"/>
      </w:pPr>
      <w:r w:rsidRPr="0009540B">
        <w:t>2.13.4.1.</w:t>
      </w:r>
      <w:r w:rsidRPr="0009540B">
        <w:rPr>
          <w:b/>
        </w:rPr>
        <w:t>Tranzītvilciens</w:t>
      </w:r>
      <w:r w:rsidRPr="0009540B">
        <w:t xml:space="preserve"> ir vilciens, kas sastāv no vienas vagonu grupas, kuras sastāvs nemainās līdz izformēšanas, izkraušanas vai iekraušanas stacijai, ka arī vilciens, kam nepieciešama vagonu atkabināšana, piekabināšana šādu iemeslu dēļ:</w:t>
      </w:r>
    </w:p>
    <w:p w:rsidR="0009540B" w:rsidRPr="0009540B" w:rsidRDefault="0009540B" w:rsidP="0009540B">
      <w:pPr>
        <w:tabs>
          <w:tab w:val="left" w:pos="720"/>
        </w:tabs>
        <w:ind w:firstLine="720"/>
        <w:jc w:val="both"/>
        <w:rPr>
          <w:rFonts w:ascii="Arial" w:hAnsi="Arial" w:cs="Arial"/>
          <w:sz w:val="24"/>
          <w:szCs w:val="24"/>
          <w:lang w:val="lv-LV"/>
        </w:rPr>
      </w:pPr>
      <w:r w:rsidRPr="0009540B">
        <w:rPr>
          <w:rFonts w:ascii="Arial" w:hAnsi="Arial" w:cs="Arial"/>
          <w:lang w:val="lv-LV"/>
        </w:rPr>
        <w:t xml:space="preserve">- </w:t>
      </w:r>
      <w:r w:rsidRPr="0009540B">
        <w:rPr>
          <w:rFonts w:ascii="Arial" w:hAnsi="Arial" w:cs="Arial"/>
          <w:sz w:val="24"/>
          <w:szCs w:val="24"/>
          <w:lang w:val="lv-LV"/>
        </w:rPr>
        <w:t xml:space="preserve">vagona tehnisks bojājums; </w:t>
      </w:r>
    </w:p>
    <w:p w:rsidR="0009540B" w:rsidRPr="0009540B" w:rsidRDefault="0009540B" w:rsidP="0009540B">
      <w:pPr>
        <w:tabs>
          <w:tab w:val="left" w:pos="720"/>
        </w:tabs>
        <w:ind w:firstLine="720"/>
        <w:jc w:val="both"/>
        <w:rPr>
          <w:rFonts w:ascii="Arial" w:hAnsi="Arial" w:cs="Arial"/>
          <w:sz w:val="24"/>
          <w:szCs w:val="24"/>
          <w:lang w:val="lv-LV"/>
        </w:rPr>
      </w:pPr>
      <w:r w:rsidRPr="0009540B">
        <w:rPr>
          <w:rFonts w:ascii="Arial" w:hAnsi="Arial" w:cs="Arial"/>
          <w:sz w:val="24"/>
          <w:szCs w:val="24"/>
          <w:lang w:val="lv-LV"/>
        </w:rPr>
        <w:t>- vilciena sastāva svara vai garuma koriģēšana (ar nosacījumu, ka atkabināšana vai piekabināšana tiek veikta ar manevru lokomotīvi uz stacijas rīcības aktā noteiktiem nosūtīšanas ceļiem no vilciena sastāva astes vai galvas daļas);</w:t>
      </w:r>
    </w:p>
    <w:p w:rsidR="0009540B" w:rsidRPr="0009540B" w:rsidRDefault="0009540B" w:rsidP="0009540B">
      <w:pPr>
        <w:tabs>
          <w:tab w:val="left" w:pos="720"/>
        </w:tabs>
        <w:ind w:firstLine="720"/>
        <w:jc w:val="both"/>
        <w:rPr>
          <w:rFonts w:ascii="Arial" w:hAnsi="Arial" w:cs="Arial"/>
          <w:sz w:val="24"/>
          <w:szCs w:val="24"/>
          <w:lang w:val="lv-LV"/>
        </w:rPr>
      </w:pPr>
      <w:r w:rsidRPr="0009540B">
        <w:rPr>
          <w:rFonts w:ascii="Arial" w:hAnsi="Arial" w:cs="Arial"/>
          <w:sz w:val="24"/>
          <w:szCs w:val="24"/>
          <w:lang w:val="lv-LV"/>
        </w:rPr>
        <w:t xml:space="preserve">- ja dažiem vagoniem, kas ir no kaimiņvalstu dzelzceļa pienākoša vilciena sastāva astes vai galvas daļā, ir cits nozīmējums, ar nosacījumu, ka pēc šo vagonu atkabināšanas vilciens ir pilnsvara vai pilnā garumā.   </w:t>
      </w:r>
    </w:p>
    <w:p w:rsidR="0009540B" w:rsidRPr="0009540B" w:rsidRDefault="0009540B" w:rsidP="0009540B">
      <w:pPr>
        <w:numPr>
          <w:ilvl w:val="0"/>
          <w:numId w:val="3"/>
        </w:numPr>
        <w:tabs>
          <w:tab w:val="clear" w:pos="885"/>
          <w:tab w:val="num" w:pos="0"/>
        </w:tabs>
        <w:ind w:left="0" w:firstLine="360"/>
        <w:jc w:val="both"/>
        <w:rPr>
          <w:rFonts w:ascii="Arial" w:hAnsi="Arial" w:cs="Arial"/>
          <w:sz w:val="24"/>
          <w:szCs w:val="24"/>
          <w:lang w:val="lv-LV"/>
        </w:rPr>
      </w:pPr>
      <w:r w:rsidRPr="0009540B">
        <w:rPr>
          <w:rFonts w:ascii="Arial" w:hAnsi="Arial" w:cs="Arial"/>
          <w:sz w:val="24"/>
          <w:szCs w:val="24"/>
          <w:lang w:val="lv-LV"/>
        </w:rPr>
        <w:t xml:space="preserve">ja vilcienam, kas ir mērķtiecīgi saformēts Latvijas dzelzceļa stacijā ar nozīmējumu uz divām Latvijas dzelzceļa stacijām, vagonu atkabināšana un piekabināšana tiek veikta, ar nosacījumu, ka tas notiek bez vilciena vadošās lokomotīves atkabināšanas. </w:t>
      </w:r>
    </w:p>
    <w:p w:rsidR="00433CC0" w:rsidRDefault="0009540B" w:rsidP="0009540B">
      <w:pPr>
        <w:numPr>
          <w:ilvl w:val="0"/>
          <w:numId w:val="3"/>
        </w:numPr>
        <w:tabs>
          <w:tab w:val="left" w:pos="720"/>
        </w:tabs>
        <w:jc w:val="both"/>
        <w:rPr>
          <w:rFonts w:ascii="Arial" w:hAnsi="Arial" w:cs="Arial"/>
          <w:sz w:val="24"/>
          <w:szCs w:val="24"/>
          <w:lang w:val="lv-LV"/>
        </w:rPr>
      </w:pPr>
      <w:r w:rsidRPr="0009540B">
        <w:rPr>
          <w:rFonts w:ascii="Arial" w:hAnsi="Arial" w:cs="Arial"/>
          <w:sz w:val="24"/>
          <w:szCs w:val="24"/>
          <w:lang w:val="lv-LV"/>
        </w:rPr>
        <w:t xml:space="preserve">ja piekabina vagonus pie mērķtiecīgi saformētam vilciena konteineru </w:t>
      </w:r>
    </w:p>
    <w:p w:rsidR="0009540B" w:rsidRPr="0009540B" w:rsidRDefault="0009540B" w:rsidP="00433CC0">
      <w:pPr>
        <w:tabs>
          <w:tab w:val="left" w:pos="720"/>
        </w:tabs>
        <w:jc w:val="both"/>
        <w:rPr>
          <w:rFonts w:ascii="Arial" w:hAnsi="Arial" w:cs="Arial"/>
          <w:sz w:val="24"/>
          <w:szCs w:val="24"/>
          <w:lang w:val="lv-LV"/>
        </w:rPr>
      </w:pPr>
      <w:r w:rsidRPr="0009540B">
        <w:rPr>
          <w:rFonts w:ascii="Arial" w:hAnsi="Arial" w:cs="Arial"/>
          <w:sz w:val="24"/>
          <w:szCs w:val="24"/>
          <w:lang w:val="lv-LV"/>
        </w:rPr>
        <w:t>pārvadāšanas, vai</w:t>
      </w:r>
      <w:r w:rsidR="00433CC0">
        <w:rPr>
          <w:rFonts w:ascii="Arial" w:hAnsi="Arial" w:cs="Arial"/>
          <w:sz w:val="24"/>
          <w:szCs w:val="24"/>
          <w:lang w:val="lv-LV"/>
        </w:rPr>
        <w:t xml:space="preserve"> </w:t>
      </w:r>
      <w:r w:rsidRPr="0009540B">
        <w:rPr>
          <w:rFonts w:ascii="Arial" w:hAnsi="Arial" w:cs="Arial"/>
          <w:sz w:val="24"/>
          <w:szCs w:val="24"/>
          <w:lang w:val="lv-LV"/>
        </w:rPr>
        <w:t xml:space="preserve">cita speciāla  vilciena. </w:t>
      </w:r>
    </w:p>
    <w:p w:rsidR="0009540B" w:rsidRPr="0009540B" w:rsidRDefault="0009540B" w:rsidP="0009540B">
      <w:pPr>
        <w:tabs>
          <w:tab w:val="left" w:pos="720"/>
        </w:tabs>
        <w:ind w:left="360"/>
        <w:jc w:val="both"/>
        <w:rPr>
          <w:rFonts w:ascii="Arial" w:hAnsi="Arial" w:cs="Arial"/>
          <w:lang w:val="lv-LV"/>
        </w:rPr>
      </w:pP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2.13.4.2.</w:t>
      </w:r>
      <w:r w:rsidRPr="0009540B">
        <w:rPr>
          <w:rFonts w:ascii="Arial" w:hAnsi="Arial" w:cs="Arial"/>
          <w:b/>
          <w:sz w:val="24"/>
          <w:szCs w:val="24"/>
          <w:lang w:val="lv-LV"/>
        </w:rPr>
        <w:t xml:space="preserve"> Izformēts vilciens</w:t>
      </w:r>
      <w:r w:rsidRPr="0009540B">
        <w:rPr>
          <w:rFonts w:ascii="Arial" w:hAnsi="Arial" w:cs="Arial"/>
          <w:sz w:val="24"/>
          <w:szCs w:val="24"/>
          <w:lang w:val="lv-LV"/>
        </w:rPr>
        <w:t xml:space="preserve"> ir vilciens, ar kuru tiek veiktas šādas operācijas:  </w:t>
      </w:r>
    </w:p>
    <w:p w:rsidR="0009540B" w:rsidRPr="0009540B" w:rsidRDefault="0009540B" w:rsidP="0009540B">
      <w:pPr>
        <w:tabs>
          <w:tab w:val="left" w:pos="1080"/>
        </w:tabs>
        <w:ind w:firstLine="720"/>
        <w:jc w:val="both"/>
        <w:rPr>
          <w:rFonts w:ascii="Arial" w:hAnsi="Arial" w:cs="Arial"/>
          <w:sz w:val="24"/>
          <w:szCs w:val="24"/>
          <w:lang w:val="lv-LV"/>
        </w:rPr>
      </w:pPr>
      <w:r w:rsidRPr="0009540B">
        <w:rPr>
          <w:rFonts w:ascii="Arial" w:hAnsi="Arial" w:cs="Arial"/>
          <w:sz w:val="24"/>
          <w:szCs w:val="24"/>
          <w:lang w:val="lv-LV"/>
        </w:rPr>
        <w:t xml:space="preserve">- </w:t>
      </w:r>
      <w:r w:rsidRPr="0009540B">
        <w:rPr>
          <w:rFonts w:ascii="Arial" w:hAnsi="Arial" w:cs="Arial"/>
          <w:sz w:val="24"/>
          <w:szCs w:val="24"/>
          <w:lang w:val="lv-LV"/>
        </w:rPr>
        <w:tab/>
        <w:t>sastāva vagonu (vagonu grupu) sadalīšana pa nozīmējumiem;</w:t>
      </w:r>
    </w:p>
    <w:p w:rsidR="0009540B" w:rsidRPr="0009540B" w:rsidRDefault="0009540B" w:rsidP="0009540B">
      <w:pPr>
        <w:numPr>
          <w:ilvl w:val="0"/>
          <w:numId w:val="6"/>
        </w:numPr>
        <w:jc w:val="both"/>
        <w:rPr>
          <w:rFonts w:ascii="Arial" w:hAnsi="Arial" w:cs="Arial"/>
          <w:sz w:val="24"/>
          <w:szCs w:val="24"/>
          <w:lang w:val="lv-LV"/>
        </w:rPr>
      </w:pPr>
      <w:r w:rsidRPr="0009540B">
        <w:rPr>
          <w:rFonts w:ascii="Arial" w:hAnsi="Arial" w:cs="Arial"/>
          <w:sz w:val="24"/>
          <w:szCs w:val="24"/>
          <w:lang w:val="lv-LV"/>
        </w:rPr>
        <w:t xml:space="preserve">sastāva sadalīšana starp pārvadātājiem; </w:t>
      </w:r>
    </w:p>
    <w:p w:rsidR="0009540B" w:rsidRPr="0009540B" w:rsidRDefault="0009540B" w:rsidP="0009540B">
      <w:pPr>
        <w:numPr>
          <w:ilvl w:val="0"/>
          <w:numId w:val="6"/>
        </w:numPr>
        <w:jc w:val="both"/>
        <w:rPr>
          <w:rFonts w:ascii="Arial" w:hAnsi="Arial" w:cs="Arial"/>
          <w:sz w:val="24"/>
          <w:szCs w:val="24"/>
          <w:lang w:val="lv-LV"/>
        </w:rPr>
      </w:pPr>
      <w:r w:rsidRPr="0009540B">
        <w:rPr>
          <w:rFonts w:ascii="Arial" w:hAnsi="Arial" w:cs="Arial"/>
          <w:sz w:val="24"/>
          <w:szCs w:val="24"/>
          <w:lang w:val="lv-LV"/>
        </w:rPr>
        <w:t>sastāva sadalīšana saskaņā ar VAS „Latvijas dzelzceļš” operatīvo rīkojumu;</w:t>
      </w:r>
    </w:p>
    <w:p w:rsidR="0009540B" w:rsidRPr="0009540B" w:rsidRDefault="0009540B" w:rsidP="0009540B">
      <w:pPr>
        <w:tabs>
          <w:tab w:val="left" w:pos="1080"/>
        </w:tabs>
        <w:ind w:left="1080" w:hanging="360"/>
        <w:jc w:val="both"/>
        <w:rPr>
          <w:rFonts w:ascii="Arial" w:hAnsi="Arial" w:cs="Arial"/>
          <w:sz w:val="24"/>
          <w:szCs w:val="24"/>
          <w:lang w:val="lv-LV"/>
        </w:rPr>
      </w:pPr>
      <w:r w:rsidRPr="0009540B">
        <w:rPr>
          <w:rFonts w:ascii="Arial" w:hAnsi="Arial" w:cs="Arial"/>
          <w:sz w:val="24"/>
          <w:szCs w:val="24"/>
          <w:lang w:val="lv-LV"/>
        </w:rPr>
        <w:t xml:space="preserve">- </w:t>
      </w:r>
      <w:r w:rsidRPr="0009540B">
        <w:rPr>
          <w:rFonts w:ascii="Arial" w:hAnsi="Arial" w:cs="Arial"/>
          <w:sz w:val="24"/>
          <w:szCs w:val="24"/>
          <w:lang w:val="lv-LV"/>
        </w:rPr>
        <w:tab/>
        <w:t xml:space="preserve">vagona (vagonu grupas) atkabināšana, izņemot gadījumus, kas norādīti 2.13.4.1.punktā; </w:t>
      </w:r>
    </w:p>
    <w:p w:rsidR="0009540B" w:rsidRPr="0009540B" w:rsidRDefault="0009540B" w:rsidP="0009540B">
      <w:pPr>
        <w:numPr>
          <w:ilvl w:val="0"/>
          <w:numId w:val="5"/>
        </w:numPr>
        <w:tabs>
          <w:tab w:val="left" w:pos="1080"/>
        </w:tabs>
        <w:ind w:left="1080"/>
        <w:jc w:val="both"/>
        <w:rPr>
          <w:rFonts w:ascii="Arial" w:hAnsi="Arial" w:cs="Arial"/>
          <w:sz w:val="24"/>
          <w:szCs w:val="24"/>
          <w:lang w:val="lv-LV"/>
        </w:rPr>
      </w:pPr>
      <w:r w:rsidRPr="0009540B">
        <w:rPr>
          <w:rFonts w:ascii="Arial" w:hAnsi="Arial" w:cs="Arial"/>
          <w:sz w:val="24"/>
          <w:szCs w:val="24"/>
          <w:lang w:val="lv-LV"/>
        </w:rPr>
        <w:t xml:space="preserve">vagona (vagonu grupas) atkabināšana no sastāva vidus, veicot manevrus ar citiem vagoniem dažādu iemeslu dēļ, izņemot vagona tehnisko bojājumu; </w:t>
      </w:r>
    </w:p>
    <w:p w:rsidR="0009540B" w:rsidRPr="0009540B" w:rsidRDefault="0009540B" w:rsidP="0009540B">
      <w:pPr>
        <w:numPr>
          <w:ilvl w:val="0"/>
          <w:numId w:val="5"/>
        </w:numPr>
        <w:tabs>
          <w:tab w:val="clear" w:pos="2880"/>
          <w:tab w:val="num" w:pos="1080"/>
        </w:tabs>
        <w:ind w:left="1080"/>
        <w:jc w:val="both"/>
        <w:rPr>
          <w:rFonts w:ascii="Arial" w:hAnsi="Arial" w:cs="Arial"/>
          <w:sz w:val="24"/>
          <w:szCs w:val="24"/>
          <w:lang w:val="lv-LV"/>
        </w:rPr>
      </w:pPr>
      <w:r w:rsidRPr="0009540B">
        <w:rPr>
          <w:rFonts w:ascii="Arial" w:hAnsi="Arial" w:cs="Arial"/>
          <w:sz w:val="24"/>
          <w:szCs w:val="24"/>
          <w:lang w:val="lv-LV"/>
        </w:rPr>
        <w:t>vagona (vagonu grupas) atkabināšanu sakarā ar to, ka pārvadātājs nenodrošina vagonu komerciālo stāvokli tālākai nosūtīšanai.</w:t>
      </w:r>
    </w:p>
    <w:p w:rsidR="0009540B" w:rsidRPr="0009540B" w:rsidRDefault="0009540B" w:rsidP="0009540B">
      <w:pPr>
        <w:jc w:val="both"/>
        <w:rPr>
          <w:rFonts w:ascii="Arial" w:hAnsi="Arial" w:cs="Arial"/>
          <w:sz w:val="24"/>
          <w:szCs w:val="24"/>
          <w:lang w:val="lv-LV"/>
        </w:rPr>
      </w:pPr>
    </w:p>
    <w:p w:rsidR="0009540B" w:rsidRPr="0009540B" w:rsidRDefault="0009540B" w:rsidP="0009540B">
      <w:pPr>
        <w:ind w:firstLine="720"/>
        <w:jc w:val="both"/>
        <w:rPr>
          <w:rFonts w:ascii="Arial" w:hAnsi="Arial" w:cs="Arial"/>
          <w:sz w:val="24"/>
          <w:szCs w:val="24"/>
          <w:lang w:val="lv-LV"/>
        </w:rPr>
      </w:pPr>
      <w:r w:rsidRPr="0009540B">
        <w:rPr>
          <w:rFonts w:ascii="Arial" w:hAnsi="Arial" w:cs="Arial"/>
          <w:sz w:val="24"/>
          <w:szCs w:val="24"/>
          <w:lang w:val="lv-LV"/>
        </w:rPr>
        <w:t>2.13.4.3.</w:t>
      </w:r>
      <w:r w:rsidRPr="0009540B">
        <w:rPr>
          <w:rFonts w:ascii="Arial" w:hAnsi="Arial" w:cs="Arial"/>
          <w:b/>
          <w:sz w:val="24"/>
          <w:szCs w:val="24"/>
          <w:lang w:val="lv-LV"/>
        </w:rPr>
        <w:t xml:space="preserve"> Saformēts vilciens</w:t>
      </w:r>
      <w:r w:rsidRPr="0009540B">
        <w:rPr>
          <w:rFonts w:ascii="Arial" w:hAnsi="Arial" w:cs="Arial"/>
          <w:sz w:val="24"/>
          <w:szCs w:val="24"/>
          <w:lang w:val="lv-LV"/>
        </w:rPr>
        <w:t xml:space="preserve"> ir vilciens, kam uzskaites stacijā ir piešķirts i</w:t>
      </w:r>
      <w:r w:rsidR="00433CC0">
        <w:rPr>
          <w:rFonts w:ascii="Arial" w:hAnsi="Arial" w:cs="Arial"/>
          <w:sz w:val="24"/>
          <w:szCs w:val="24"/>
          <w:lang w:val="lv-LV"/>
        </w:rPr>
        <w:t>ndekss un noformēta natūrlapa.</w:t>
      </w:r>
      <w:r w:rsidRPr="0009540B">
        <w:rPr>
          <w:rFonts w:ascii="Arial" w:hAnsi="Arial" w:cs="Arial"/>
          <w:sz w:val="24"/>
          <w:szCs w:val="24"/>
          <w:lang w:val="lv-LV"/>
        </w:rPr>
        <w:t xml:space="preserve"> </w:t>
      </w:r>
    </w:p>
    <w:p w:rsidR="00D13ABD" w:rsidRPr="0009540B" w:rsidRDefault="00D13ABD">
      <w:pPr>
        <w:ind w:right="42"/>
        <w:jc w:val="both"/>
        <w:rPr>
          <w:rFonts w:ascii="Arial" w:hAnsi="Arial" w:cs="Arial"/>
          <w:color w:val="000000"/>
          <w:sz w:val="24"/>
          <w:szCs w:val="24"/>
          <w:lang w:val="lv-LV"/>
        </w:rPr>
      </w:pPr>
    </w:p>
    <w:p w:rsidR="00D13ABD" w:rsidRDefault="0009540B" w:rsidP="0009540B">
      <w:pPr>
        <w:ind w:right="42" w:firstLine="720"/>
        <w:jc w:val="both"/>
        <w:rPr>
          <w:rFonts w:ascii="Arial" w:hAnsi="Arial" w:cs="Arial"/>
          <w:sz w:val="24"/>
          <w:szCs w:val="24"/>
          <w:lang w:val="lv-LV"/>
        </w:rPr>
      </w:pPr>
      <w:r w:rsidRPr="0009540B">
        <w:rPr>
          <w:rFonts w:ascii="Arial" w:hAnsi="Arial" w:cs="Arial"/>
          <w:b/>
          <w:sz w:val="24"/>
          <w:szCs w:val="24"/>
          <w:lang w:val="lv-LV"/>
        </w:rPr>
        <w:t>2.14</w:t>
      </w:r>
      <w:r>
        <w:rPr>
          <w:rFonts w:ascii="Arial" w:hAnsi="Arial" w:cs="Arial"/>
          <w:sz w:val="24"/>
          <w:szCs w:val="24"/>
          <w:lang w:val="lv-LV"/>
        </w:rPr>
        <w:t>.</w:t>
      </w:r>
      <w:r w:rsidR="004D79E4">
        <w:rPr>
          <w:rFonts w:ascii="Arial" w:hAnsi="Arial" w:cs="Arial"/>
          <w:sz w:val="24"/>
          <w:szCs w:val="24"/>
          <w:lang w:val="lv-LV"/>
        </w:rPr>
        <w:t xml:space="preserve"> </w:t>
      </w:r>
      <w:r w:rsidR="00D13ABD">
        <w:rPr>
          <w:rFonts w:ascii="Arial" w:hAnsi="Arial" w:cs="Arial"/>
          <w:sz w:val="24"/>
          <w:szCs w:val="24"/>
          <w:lang w:val="lv-LV"/>
        </w:rPr>
        <w:t>Vilcienu nosūtīšana saskaņā ar dispečersarakstu ir atļauta,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vilciena sastāvā ir vagoni ar negabarīta kravu vai ritošais sastāvs, kuram noteikts ātruma ierobežojums salīdzinājumā ar grafikā noteikto ātrumu;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jānosūta maiņas plānā grafikā neparedzēti vilcieni;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jānosūta garsastāva, smagsvara vilcieni, kuriem kustības grafikā nav paredzēti speciāli saraksti. Šajā gadījumā var koriģēt kravas vilcienu sarakstu, saskaņā ar kuriem notiek vilciena krustošanās vai apdzīšana;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no kaimiņiecirkņa pienācis ātrāk nekā grafika sarakstā paredzētajā laikā;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vilcienu apdzenot vai krustojoties ar īpašas caurbraukšanas vilcienu (saskaņā ar Dzelzceļa tehniskās ekspluatācijas noteikumiem attiecībā uz vilcienu kustību un manevru darbu), t.sk. ar ugundzēsības vilcienu, </w:t>
      </w:r>
      <w:r>
        <w:rPr>
          <w:b w:val="0"/>
          <w:bCs w:val="0"/>
          <w:sz w:val="24"/>
          <w:szCs w:val="24"/>
        </w:rPr>
        <w:lastRenderedPageBreak/>
        <w:t>palīdzības vilcienu, palīglokomotīvēm, avārijas drezīnām, kas tiek norīkotas pamatojoties uz palīdzības pieprasījumu. Šajā gadījumā var koriģēt arī pasažieru un kravas vilcienu sarakstu.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grafikā vilcienu saraksts ir mazāks par plānoto (koriģēto ik pēc katrām 4-6 stundām) vilcienu skaitu;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pārejot uz vasaras vai ziemas laiku, vai ieviešot koriģēto vilcienu kustības grafiku kārtībā, kuru nosaka ar atsevišķu rīkojumu;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nosūtot, ātrāk par saraksta laiku, kravas vilcienu no mezgla stacijas, lai nodrošinātu tās ritmisku (nepārtrauktu) darbu.</w:t>
      </w:r>
    </w:p>
    <w:p w:rsidR="00D13ABD" w:rsidRDefault="00D13ABD">
      <w:pPr>
        <w:pStyle w:val="BodyText2"/>
        <w:tabs>
          <w:tab w:val="clear" w:pos="567"/>
        </w:tabs>
        <w:ind w:firstLine="709"/>
        <w:rPr>
          <w:color w:val="auto"/>
        </w:rPr>
      </w:pPr>
      <w:r>
        <w:rPr>
          <w:color w:val="auto"/>
        </w:rPr>
        <w:t xml:space="preserve">Vilcienu dispečeram kravas vilcienu kustības saraksts jānoformē kā rīkojums, ņemot vērā attiecīgos ātrumus, vilciena posma gaitas laiku, ievērojot lokomotīvju brigāžu darba grafiku, jāreģistrē "Dispečeru rīkojumu žurnālā" </w:t>
      </w:r>
      <w:r>
        <w:t>un atsevišķā žurnālā</w:t>
      </w:r>
      <w:r>
        <w:rPr>
          <w:color w:val="auto"/>
        </w:rPr>
        <w:t xml:space="preserve"> un pirms vilciena nosūtīšanas jāpaziņo manevru dispečeram, staciju dežurantiem, lokomotīves vadītājam, kā arī kaimiņiecirkņa vilciena dispečeram. Vilcienu nosūtīšana pēc dispečersaraksta jāsaskaņo ar kaimiņiecirkņa vilcienu dispečeru.</w:t>
      </w:r>
    </w:p>
    <w:p w:rsidR="00D13ABD" w:rsidRDefault="00D13ABD">
      <w:pPr>
        <w:pStyle w:val="BodyText2"/>
        <w:tabs>
          <w:tab w:val="clear" w:pos="567"/>
        </w:tabs>
        <w:ind w:firstLine="709"/>
        <w:rPr>
          <w:color w:val="auto"/>
        </w:rPr>
      </w:pPr>
    </w:p>
    <w:p w:rsidR="00D13ABD" w:rsidRDefault="0009540B" w:rsidP="0009540B">
      <w:pPr>
        <w:ind w:right="42" w:firstLine="709"/>
        <w:jc w:val="both"/>
        <w:rPr>
          <w:rFonts w:ascii="Arial" w:hAnsi="Arial" w:cs="Arial"/>
          <w:sz w:val="24"/>
          <w:szCs w:val="24"/>
          <w:lang w:val="lv-LV"/>
        </w:rPr>
      </w:pPr>
      <w:r w:rsidRPr="0009540B">
        <w:rPr>
          <w:rFonts w:ascii="Arial" w:hAnsi="Arial" w:cs="Arial"/>
          <w:b/>
          <w:sz w:val="24"/>
          <w:szCs w:val="24"/>
          <w:lang w:val="lv-LV"/>
        </w:rPr>
        <w:t>2.15</w:t>
      </w:r>
      <w:r>
        <w:rPr>
          <w:rFonts w:ascii="Arial" w:hAnsi="Arial" w:cs="Arial"/>
          <w:sz w:val="24"/>
          <w:szCs w:val="24"/>
          <w:lang w:val="lv-LV"/>
        </w:rPr>
        <w:t>.</w:t>
      </w:r>
      <w:r w:rsidR="00D13ABD">
        <w:rPr>
          <w:rFonts w:ascii="Arial" w:hAnsi="Arial" w:cs="Arial"/>
          <w:sz w:val="24"/>
          <w:szCs w:val="24"/>
          <w:lang w:val="lv-LV"/>
        </w:rPr>
        <w:t>Ceļa, kontakttīkla un elektroapgādes ierīču plānotā remonta, celtniecības, montāžas un citu darbu laikā "tehnoloģiskajos logos", kad nepieciešams īslaicīgi slēgt vienceļa iecirkņa posmu vai divce|u (daudzceļu) iecirkņos – vienu vai vairākus galvenos ceļus, kravas un pasažieru vilcienu izpildīto kustību uzskaita pēc precizētā grafika varianta vai pēc noteiktajā kārtībā apstiprinātā vilcienu saraksta. Vilcienu turpmāko aizturēšanu caurlaides spēju trūkuma dēļ uzskaita pie struktūrvienības, kuras vainas dēļ pieļauta ”logu” pārturēšana.</w:t>
      </w:r>
    </w:p>
    <w:p w:rsidR="00D13ABD" w:rsidRDefault="00D13ABD">
      <w:pPr>
        <w:ind w:right="42"/>
        <w:jc w:val="both"/>
        <w:rPr>
          <w:rFonts w:ascii="Arial" w:hAnsi="Arial" w:cs="Arial"/>
          <w:sz w:val="24"/>
          <w:szCs w:val="24"/>
          <w:lang w:val="lv-LV"/>
        </w:rPr>
      </w:pPr>
    </w:p>
    <w:p w:rsidR="00D13ABD" w:rsidRDefault="004D79E4" w:rsidP="004D79E4">
      <w:pPr>
        <w:ind w:right="42" w:firstLine="709"/>
        <w:jc w:val="both"/>
        <w:rPr>
          <w:rFonts w:ascii="Arial" w:hAnsi="Arial" w:cs="Arial"/>
          <w:sz w:val="24"/>
          <w:szCs w:val="24"/>
          <w:lang w:val="lv-LV"/>
        </w:rPr>
      </w:pPr>
      <w:r w:rsidRPr="004D79E4">
        <w:rPr>
          <w:rFonts w:ascii="Arial" w:hAnsi="Arial" w:cs="Arial"/>
          <w:b/>
          <w:sz w:val="24"/>
          <w:szCs w:val="24"/>
          <w:lang w:val="lv-LV"/>
        </w:rPr>
        <w:t>2.16</w:t>
      </w:r>
      <w:r>
        <w:rPr>
          <w:rFonts w:ascii="Arial" w:hAnsi="Arial" w:cs="Arial"/>
          <w:sz w:val="24"/>
          <w:szCs w:val="24"/>
          <w:lang w:val="lv-LV"/>
        </w:rPr>
        <w:t xml:space="preserve">. </w:t>
      </w:r>
      <w:r w:rsidR="00D13ABD">
        <w:rPr>
          <w:rFonts w:ascii="Arial" w:hAnsi="Arial" w:cs="Arial"/>
          <w:sz w:val="24"/>
          <w:szCs w:val="24"/>
          <w:lang w:val="lv-LV"/>
        </w:rPr>
        <w:t xml:space="preserve">Vilcienu dispečeram izpildītajā vilcienu kustības grafikā jāuzrāda katra vilciena aizkavēšanās un konkrēts tās iemesls. Par saņemtās informācijas pareizu atspoguļošanu un atbilstošu atzīmi atbild vilcienu dispečers. Analizējot pasažieru un kravas vilcienu kustības izpildīto grafiku un konkrētos kavējumu iemeslus, kavējumi tiek attiecināti uz vainīgajām struktūrvienībām. </w:t>
      </w:r>
    </w:p>
    <w:p w:rsidR="00D13ABD" w:rsidRDefault="00D13ABD">
      <w:pPr>
        <w:ind w:right="42"/>
        <w:jc w:val="both"/>
        <w:rPr>
          <w:rFonts w:ascii="Arial" w:hAnsi="Arial" w:cs="Arial"/>
          <w:sz w:val="24"/>
          <w:szCs w:val="24"/>
          <w:lang w:val="lv-LV"/>
        </w:rPr>
      </w:pPr>
    </w:p>
    <w:p w:rsidR="00D13ABD" w:rsidRDefault="00D13ABD">
      <w:pPr>
        <w:ind w:right="42"/>
        <w:jc w:val="both"/>
        <w:rPr>
          <w:rFonts w:ascii="Arial" w:hAnsi="Arial" w:cs="Arial"/>
          <w:sz w:val="24"/>
          <w:szCs w:val="24"/>
          <w:lang w:val="lv-LV"/>
        </w:rPr>
      </w:pPr>
    </w:p>
    <w:p w:rsidR="00D13ABD" w:rsidRDefault="00D13ABD">
      <w:pPr>
        <w:ind w:right="42"/>
        <w:jc w:val="both"/>
        <w:rPr>
          <w:rFonts w:ascii="Arial" w:hAnsi="Arial" w:cs="Arial"/>
          <w:sz w:val="24"/>
          <w:szCs w:val="24"/>
          <w:lang w:val="lv-LV"/>
        </w:rPr>
      </w:pPr>
    </w:p>
    <w:p w:rsidR="00D13ABD" w:rsidRDefault="00D13ABD" w:rsidP="00D13ABD">
      <w:pPr>
        <w:numPr>
          <w:ilvl w:val="0"/>
          <w:numId w:val="1"/>
        </w:numPr>
        <w:tabs>
          <w:tab w:val="clear" w:pos="2400"/>
          <w:tab w:val="num" w:pos="426"/>
        </w:tabs>
        <w:spacing w:before="240" w:after="240"/>
        <w:ind w:left="0" w:firstLine="0"/>
        <w:jc w:val="center"/>
        <w:outlineLvl w:val="0"/>
        <w:rPr>
          <w:rFonts w:ascii="Arial" w:hAnsi="Arial" w:cs="Arial"/>
          <w:b/>
          <w:bCs/>
          <w:caps/>
          <w:sz w:val="28"/>
          <w:szCs w:val="28"/>
          <w:lang w:val="lv-LV"/>
        </w:rPr>
      </w:pPr>
      <w:r>
        <w:rPr>
          <w:rFonts w:ascii="Arial" w:hAnsi="Arial" w:cs="Arial"/>
          <w:b/>
          <w:bCs/>
          <w:caps/>
          <w:sz w:val="24"/>
          <w:szCs w:val="24"/>
          <w:lang w:val="lv-LV"/>
        </w:rPr>
        <w:t>Vilcienu kavējumus attiecina:</w:t>
      </w: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Tehniskās vadības direkcijā:</w:t>
      </w:r>
    </w:p>
    <w:p w:rsidR="00D13ABD" w:rsidRDefault="00D13ABD">
      <w:pPr>
        <w:ind w:right="42"/>
        <w:jc w:val="both"/>
        <w:rPr>
          <w:rFonts w:ascii="Arial" w:hAnsi="Arial" w:cs="Arial"/>
          <w:b/>
          <w:bCs/>
          <w:sz w:val="24"/>
          <w:szCs w:val="24"/>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Ritošā sastāva daļu (DKR),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vilciena sastāvs nav apskatīts tehnoloģiskajā procesā paredzētajā laikā;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 vilcieniem starpstacijās atkabināti vagoni tehnisku bojājumu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vagonu tehnisko bojājumu novēršanai;</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tiek pārsniegta pieļaujamā autosakabju asu augstuma starpība starp vagoniem vai starp lokomotīvi un pirmo vagonu, ja vagona autosakabe neatbilst TEN prasībām;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spiediena krišanās sastāva bremzes maģistrālē vagona tehniskā stāvokļa dēļ;</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vilciens aizturēts pēc kontrollīdzekļu (PONAB, DISK, FUES, Mattild) apstiprinātiem rādījumiem vagoniem;</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notikusi posma slēgšana vai ātruma ierobežošana pēc vilciena caurbraukšanas ar bojātiem vagoniem (izrāvums, uzmetinājums vai izdrupums).</w:t>
      </w:r>
    </w:p>
    <w:p w:rsidR="00D13ABD" w:rsidRDefault="00D13ABD">
      <w:pPr>
        <w:pStyle w:val="BodyTextIndent3"/>
        <w:ind w:left="426" w:right="42" w:firstLine="0"/>
        <w:jc w:val="both"/>
        <w:rPr>
          <w:b w:val="0"/>
          <w:bCs w:val="0"/>
          <w:color w:val="00000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lastRenderedPageBreak/>
        <w:t>Uz Tehnoloģijas daļu (DKT), tās kustības organizācijas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savlaicīgi nav saformēti sastāvi;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savlaicīgi nav sagatavoti vilcienu dokumenti;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stacija nepieņem vilcienus;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pasažieru vilciena novēlota padošana pasažieru iekāpšanai;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stacijas dežuranta nepareiza rīcība, tai skaitā nepareiza SCB un citu tehnisko ierīču lietošana;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stacijas dežuranta neoperativitāte;</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ritošā sastāva patvaļīga aizripošana nenostiprināšanas ar bremzes kurpēm dēļ.</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Vilcienu kustības organizācijas daļu (DKO),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pareizi regulēta vilcienu kustība iecirknī;</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neprecīzas plānošanas dēļ notikusi nesavlaicīga rezerves lokomotīvju vai lokomotīvju brigāžu piesūtīšana vilcienu nosūtīšanai;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dispečers izpildītajā vilcienu kustības grafikā nav norādījis vilcienu kavēšanās iemeslu;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dispečera neoperativitāte;</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nepareiza SCB ierīču lietošana dispečercentralizācijas iecirkņos;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plānveida ceļu remontdarbu veikšanai savlaicīgi nav koriģēts vai nepareizi izstrādāts vilcienu kustības grafiks;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konstatēts nepareizs attēlojums izpildītajā vilcienu kustības grafikā, salīdzinājumā ar </w:t>
      </w:r>
      <w:r>
        <w:rPr>
          <w:b w:val="0"/>
          <w:bCs w:val="0"/>
          <w:color w:val="000000"/>
          <w:sz w:val="24"/>
          <w:szCs w:val="24"/>
        </w:rPr>
        <w:t>ātrummērītāju lenšu atšifrējumu</w:t>
      </w:r>
      <w:r>
        <w:rPr>
          <w:b w:val="0"/>
          <w:bCs w:val="0"/>
          <w:sz w:val="24"/>
          <w:szCs w:val="24"/>
        </w:rPr>
        <w:t>.</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Elektrotehnisko saimniecību (T),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konstatēti elektrotehnisko (SCB, kontrollīdzekļu (PONAB, DISK, FUES, Mattild), sakaru un radiosakaru) ierīču bojājumi vai darbības traucējumi;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kontakttīklā vai elektroapgādē nav bijis vai samazinājies spriegums, bijuši kontakttīkla un elektroapgādes ierīču bojājumi vai to gabarīti neatbilst noteiktajām prasībām. Ja akumulatoru rezerves barošana nodrošina nepārtrauktu SCB ierīču un pārbrauktuvju signalizācijas un automātisko barjeru darbu mazāk par 8 stundām, bet, ja strāvas padeve pirms tam notikusi nepārtraukti 36 stundas;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pārsniegts “tehnoloģisko logu” plānotais laiks SCB ierīču, kontakttīkla, strāvas noņēmēja, elektroapgādes līniju remonta vai montāžas darbos;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konstatēti sliežu ķēžu darbības traucējumi elementos, kurus apkalpo signalizācijas un sakaru distanču darbinieki;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konstatēti datortīkla un informatīvo sistēmu bojājumi elementos, kurus apkalpo signalizācijas un sakaru distanču darbinieki;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color w:val="000000"/>
          <w:sz w:val="24"/>
          <w:szCs w:val="24"/>
        </w:rPr>
        <w:t>saimniecības vilciens (kontakttīkla drezīna)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vilciena aizturēšana pēc kontrollīdzekļu (PONAB, DISK, FUES, Mattild) rādījumiem, neesot bojājumiem norādītajos vagonos vai lokomotīvēs.</w:t>
      </w:r>
    </w:p>
    <w:p w:rsidR="00D13ABD" w:rsidRDefault="00D13ABD">
      <w:pPr>
        <w:pStyle w:val="BodyTextIndent3"/>
        <w:ind w:left="426" w:right="42" w:firstLine="294"/>
        <w:jc w:val="both"/>
        <w:rPr>
          <w:b w:val="0"/>
          <w:bCs w:val="0"/>
          <w:sz w:val="24"/>
          <w:szCs w:val="24"/>
        </w:rPr>
      </w:pPr>
      <w:r>
        <w:rPr>
          <w:b w:val="0"/>
          <w:bCs w:val="0"/>
          <w:sz w:val="24"/>
          <w:szCs w:val="24"/>
        </w:rPr>
        <w:t xml:space="preserve">Tāpat tiek attiecināti vilcienu kavējumi, kas saistīti ar jaunieviešamo automātikas ierīču pārslēgšanu vai SCB un sakaru ierīču pārvietošanu uz citu vietu. </w:t>
      </w:r>
    </w:p>
    <w:p w:rsidR="00D13ABD" w:rsidRDefault="00D13ABD">
      <w:pPr>
        <w:pStyle w:val="BodyTextIndent3"/>
        <w:ind w:left="426" w:right="42" w:firstLine="294"/>
        <w:jc w:val="both"/>
        <w:rPr>
          <w:b w:val="0"/>
          <w:bCs w:val="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Ceļu saimniecību (C), to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netiek ievērots vilcienu kustības grafiks, vilcienu kustības grafikā ātruma ierobežojumu brīdinājumu dēļ, izņemot 3.19. punktā paredzēto gadījumu;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color w:val="000000"/>
          <w:sz w:val="24"/>
          <w:szCs w:val="24"/>
        </w:rPr>
        <w:t>pārsniegts</w:t>
      </w:r>
      <w:r>
        <w:rPr>
          <w:b w:val="0"/>
          <w:bCs w:val="0"/>
          <w:color w:val="FF0000"/>
          <w:sz w:val="24"/>
          <w:szCs w:val="24"/>
        </w:rPr>
        <w:t xml:space="preserve"> </w:t>
      </w:r>
      <w:r>
        <w:rPr>
          <w:b w:val="0"/>
          <w:bCs w:val="0"/>
          <w:sz w:val="24"/>
          <w:szCs w:val="24"/>
        </w:rPr>
        <w:t>ceļa vai inženiertehnisko būvju remontam paredzētais "tehnoloģiskā loga" laiks;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“tehnoloģiskā loga” laikā tiek veikti darbi, kuri nav paredzēti telegrammā;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savlaicīgi nav attīrīts ceļš un pārmijas no piesārņojumiem (izņemot no kravas atlikumiem un ritošā sastāva detaļām) un sniega;</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pārmijas nepārlikšana to elementu bojājuma dēļ, kurus apkalpo ceļu saimniecības darbinieki;</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 xml:space="preserve">konstatēti sliežu ķēžu darba traucējumi ceļa posmos un stacijās, elementos, kurus apkalpo </w:t>
      </w:r>
      <w:r>
        <w:rPr>
          <w:b w:val="0"/>
          <w:bCs w:val="0"/>
          <w:color w:val="000000"/>
          <w:sz w:val="24"/>
          <w:szCs w:val="24"/>
        </w:rPr>
        <w:t>ceļu saimniecības darbinieki;</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notikusi ritošā sastāva patvaļīga aizripošana nenostiprināšanas ar bremzes kurpēm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color w:val="000000"/>
          <w:sz w:val="24"/>
          <w:szCs w:val="24"/>
        </w:rPr>
        <w:t>saimniecības vilciens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uzbraucis ceļa virsbūves materiāliem vai tika pielietota pēkšņa bremzēšana to novēršanai.</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Informatīvās skaitļošanas centru (ISC), to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i/>
          <w:iCs/>
          <w:sz w:val="24"/>
          <w:szCs w:val="24"/>
          <w:u w:val="single"/>
        </w:rPr>
      </w:pPr>
      <w:r>
        <w:rPr>
          <w:b w:val="0"/>
          <w:bCs w:val="0"/>
          <w:sz w:val="24"/>
          <w:szCs w:val="24"/>
        </w:rPr>
        <w:t>savlaicīgi netika izsniegta vilcienu dokumentācija;</w:t>
      </w:r>
    </w:p>
    <w:p w:rsidR="00D13ABD" w:rsidRDefault="00D13ABD" w:rsidP="00D13ABD">
      <w:pPr>
        <w:pStyle w:val="BodyTextIndent3"/>
        <w:numPr>
          <w:ilvl w:val="0"/>
          <w:numId w:val="2"/>
        </w:numPr>
        <w:tabs>
          <w:tab w:val="clear" w:pos="1129"/>
          <w:tab w:val="num" w:pos="851"/>
        </w:tabs>
        <w:ind w:left="851" w:right="42" w:hanging="425"/>
        <w:jc w:val="both"/>
        <w:rPr>
          <w:b w:val="0"/>
          <w:bCs w:val="0"/>
          <w:i/>
          <w:iCs/>
          <w:sz w:val="24"/>
          <w:szCs w:val="24"/>
          <w:u w:val="single"/>
        </w:rPr>
      </w:pPr>
      <w:r>
        <w:rPr>
          <w:b w:val="0"/>
          <w:bCs w:val="0"/>
          <w:sz w:val="26"/>
          <w:szCs w:val="26"/>
        </w:rPr>
        <w:t>konstatēts datortīkla un informatīvo sistēmu bojājums.</w:t>
      </w:r>
    </w:p>
    <w:p w:rsidR="00D13ABD" w:rsidRDefault="00D13ABD">
      <w:pPr>
        <w:tabs>
          <w:tab w:val="num" w:pos="2400"/>
        </w:tabs>
        <w:ind w:right="42"/>
        <w:jc w:val="both"/>
        <w:rPr>
          <w:rFonts w:ascii="Arial" w:hAnsi="Arial" w:cs="Arial"/>
          <w:b/>
          <w:bCs/>
          <w:sz w:val="24"/>
          <w:szCs w:val="24"/>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color w:val="000000"/>
          <w:sz w:val="24"/>
          <w:szCs w:val="24"/>
          <w:lang w:val="lv-LV"/>
        </w:rPr>
        <w:t xml:space="preserve">Uz a/s “Starptautiskie pasažieru pārvadājumi”, </w:t>
      </w:r>
      <w:r>
        <w:rPr>
          <w:rFonts w:ascii="Arial" w:hAnsi="Arial" w:cs="Arial"/>
          <w:b/>
          <w:bCs/>
          <w:sz w:val="24"/>
          <w:szCs w:val="24"/>
          <w:lang w:val="lv-LV"/>
        </w:rPr>
        <w:t>ja:</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starptautiskais pasažieru vilciens piespiedu apturēts ar stopkrānu;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starptautiskā pasažieru vilciena novēlota izdošana pasažieru iekāpšanai;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starptautiskie pasažieru vilcieni aizkavējušies ilgāk par noteikto laiku pasažieru iekāpšanai un izkāpšanai, pasta un bagāžas iekraušanai un izkraušanai, restorānvagonu iekārtošanai un apgādei;</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starptautiskais pasažieru vilciens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braucot, ceļā atkabināti bojāti pasažieru vagoni;</w:t>
      </w:r>
    </w:p>
    <w:p w:rsidR="00D13ABD" w:rsidRDefault="00D13ABD" w:rsidP="00D13ABD">
      <w:pPr>
        <w:pStyle w:val="BodyTextIndent3"/>
        <w:numPr>
          <w:ilvl w:val="0"/>
          <w:numId w:val="2"/>
        </w:numPr>
        <w:tabs>
          <w:tab w:val="clear" w:pos="1129"/>
          <w:tab w:val="num" w:pos="851"/>
        </w:tabs>
        <w:ind w:left="851" w:right="42" w:hanging="425"/>
        <w:jc w:val="both"/>
        <w:rPr>
          <w:b w:val="0"/>
          <w:bCs w:val="0"/>
          <w:sz w:val="28"/>
          <w:szCs w:val="28"/>
        </w:rPr>
      </w:pPr>
      <w:r>
        <w:rPr>
          <w:b w:val="0"/>
          <w:bCs w:val="0"/>
          <w:color w:val="000000"/>
          <w:sz w:val="24"/>
          <w:szCs w:val="24"/>
        </w:rPr>
        <w:t>starptautiskajā pasažieru vilcienā tika remontētas pasažieru vagona iekārtas, vagonu neatkabinot.</w:t>
      </w:r>
    </w:p>
    <w:p w:rsidR="00D13ABD" w:rsidRDefault="00D13ABD">
      <w:pPr>
        <w:pStyle w:val="BodyTextIndent3"/>
        <w:ind w:left="426"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Uz a/s “Pasažieru vilciens” (PV),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 xml:space="preserve">vilciens piespiedu apturēts ar stopkrānu; </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vilciens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aizkavējies ilgāk par noteikto laiku, pasažieriem iekāpjot un izkāpjot;</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padots pasažieru iekāpšanai ar kavējumu;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pieļauti vilciena vai kontakttīkla vadu bojājumi lokomotīves brigādes nepareizas rīcības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lokomotīves brigādes nepareiza rīcība, kas izraisījusi vilcienu kustības </w:t>
      </w:r>
      <w:r>
        <w:rPr>
          <w:b w:val="0"/>
          <w:bCs w:val="0"/>
          <w:sz w:val="24"/>
          <w:szCs w:val="24"/>
        </w:rPr>
        <w:lastRenderedPageBreak/>
        <w:t>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apturēts lokomotīves brigādes darbaspējas pārbaudei;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lokomotīves brigādes nesavlaicīgas ierašanās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ritošais sastāvs patvaļīgi aizripojis nenobremzēšanas dēļ.</w:t>
      </w: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Piezīme: uzskaite tiek veikta atsevišķi elektrovilcieniem un dīzeļvilcieniem.</w:t>
      </w:r>
    </w:p>
    <w:p w:rsidR="00D13ABD" w:rsidRDefault="00D13ABD">
      <w:pPr>
        <w:ind w:right="42" w:firstLine="709"/>
        <w:jc w:val="both"/>
        <w:rPr>
          <w:rFonts w:ascii="Arial" w:hAnsi="Arial" w:cs="Arial"/>
          <w:sz w:val="24"/>
          <w:szCs w:val="24"/>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t>Uz SIA “LDz Cargo” (LDz Cargo):</w:t>
      </w:r>
    </w:p>
    <w:p w:rsidR="00D13ABD" w:rsidRDefault="00D13ABD">
      <w:pPr>
        <w:ind w:right="42"/>
        <w:jc w:val="both"/>
        <w:rPr>
          <w:rFonts w:ascii="Arial" w:hAnsi="Arial" w:cs="Arial"/>
          <w:b/>
          <w:bCs/>
          <w:sz w:val="24"/>
          <w:szCs w:val="24"/>
          <w:lang w:val="lv-LV"/>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Komercdarbības organizācijas daļu (KMO),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komercapskatei ilgāk par grafikā paredzēto laiku;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savlaicīgi nav sagatavoti pārvadāšanas dokumenti;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kravas izjukšana kustības laikā;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posmā vai starpstacijā komercapskatei vai vagonu atkabināšanai komercbrāķa dēļ;</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savācējvilciens, izvedvilciens nav iekļāvies grafika paredzētajā stāvēšanas laikā, apkalpojot stacijas;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color w:val="000000"/>
          <w:sz w:val="24"/>
          <w:szCs w:val="24"/>
        </w:rPr>
        <w:t>vilcienu konduktora vai vilcienu sastādītāja nepareiza rīcība.</w:t>
      </w:r>
    </w:p>
    <w:p w:rsidR="00D13ABD" w:rsidRDefault="00D13ABD">
      <w:pPr>
        <w:pStyle w:val="BodyTextIndent3"/>
        <w:ind w:left="426" w:right="42" w:firstLine="0"/>
        <w:jc w:val="both"/>
        <w:rPr>
          <w:b w:val="0"/>
          <w:bCs w:val="0"/>
          <w:sz w:val="24"/>
          <w:szCs w:val="24"/>
        </w:rPr>
      </w:pPr>
    </w:p>
    <w:p w:rsidR="00D13ABD" w:rsidRDefault="00D13ABD" w:rsidP="00D13ABD">
      <w:pPr>
        <w:numPr>
          <w:ilvl w:val="2"/>
          <w:numId w:val="1"/>
        </w:numPr>
        <w:tabs>
          <w:tab w:val="clear" w:pos="2760"/>
          <w:tab w:val="num" w:pos="1985"/>
        </w:tabs>
        <w:ind w:left="0" w:right="42" w:firstLine="1134"/>
        <w:jc w:val="both"/>
        <w:rPr>
          <w:rFonts w:ascii="Arial" w:hAnsi="Arial" w:cs="Arial"/>
          <w:b/>
          <w:bCs/>
          <w:sz w:val="24"/>
          <w:szCs w:val="24"/>
          <w:lang w:val="lv-LV"/>
        </w:rPr>
      </w:pPr>
      <w:r>
        <w:rPr>
          <w:rFonts w:ascii="Arial" w:hAnsi="Arial" w:cs="Arial"/>
          <w:b/>
          <w:bCs/>
          <w:sz w:val="24"/>
          <w:szCs w:val="24"/>
          <w:lang w:val="lv-LV"/>
        </w:rPr>
        <w:t>Uz Lokomotīvju ekspluatācijas daļu (KTL),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notika lokomotīves bojājums lokomotīves brigādes nepareizas rīcības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stacijā vai posmā pieļauta vilcienu grafikā neparedzēta apstāšanās vai aizturēšana lokomotīves brigādes nepareizas rīcības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sastāvam savlaicīgi nav padota lokomotīve;</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vilciens aizturēts pēc kontrollīdzekļu (PONAB, DISK, FUES, Mattild) apstiprinātiem rādījumiem lokomotīvei;</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apturēts lokomotīves brigādes darbaspējas pārbaudei;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lokomotīves brigādes nesavlaicīgas ierašanās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ritošā sastāva patvaļīga aizripošana nenostiprināšanas ar bremzes kurpēm dēļ.</w:t>
      </w:r>
    </w:p>
    <w:p w:rsidR="00D13ABD" w:rsidRDefault="00D13ABD">
      <w:pPr>
        <w:pStyle w:val="BodyTextIndent3"/>
        <w:ind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b/>
          <w:bCs/>
          <w:color w:val="000000"/>
          <w:sz w:val="24"/>
          <w:szCs w:val="24"/>
          <w:lang w:val="lv-LV"/>
        </w:rPr>
      </w:pPr>
      <w:r>
        <w:rPr>
          <w:rFonts w:ascii="Arial" w:hAnsi="Arial" w:cs="Arial"/>
          <w:b/>
          <w:bCs/>
          <w:color w:val="000000"/>
          <w:sz w:val="24"/>
          <w:szCs w:val="24"/>
          <w:lang w:val="lv-LV"/>
        </w:rPr>
        <w:t>Uz SIA “LDz Ritošā sastāva serviss” (RSS),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kravas un pasažieru vilcieni aizkavējušies vagonu vai lokomotīvju nekvalitatīvā remonta dēļ;</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vilciens aizturēts pēc kontrollīdzekļu (PONAB, DISK, FUES, Mattild) apstiprinātiem rādījumiem – kravas vagona vai lokomotīves nekvalitatīva remonta dēļ šajā remontuzņēmumā;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kravas vagona vai lokomotīves autosakabe neatbilst TEN prasībām;</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lokomotīve pēc remonta savlaicīgi nav izdota grafikā paredzētajam vilcienam;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ritošā sastāva patvaļīga aizripošana nenostiprināšanas ar bremzes kurpēm dēļ.</w:t>
      </w:r>
    </w:p>
    <w:p w:rsidR="00D13ABD" w:rsidRDefault="00D13ABD">
      <w:pPr>
        <w:pStyle w:val="BodyTextIndent3"/>
        <w:ind w:left="426" w:right="42" w:firstLine="0"/>
        <w:jc w:val="both"/>
        <w:rPr>
          <w:b w:val="0"/>
          <w:bCs w:val="0"/>
          <w:color w:val="000000"/>
          <w:sz w:val="16"/>
          <w:szCs w:val="16"/>
        </w:rPr>
      </w:pPr>
    </w:p>
    <w:p w:rsidR="00D13ABD" w:rsidRDefault="00D13ABD" w:rsidP="00D13ABD">
      <w:pPr>
        <w:numPr>
          <w:ilvl w:val="1"/>
          <w:numId w:val="1"/>
        </w:numPr>
        <w:tabs>
          <w:tab w:val="clear" w:pos="2760"/>
          <w:tab w:val="num" w:pos="1418"/>
        </w:tabs>
        <w:ind w:left="0" w:right="42" w:firstLine="709"/>
        <w:jc w:val="both"/>
        <w:rPr>
          <w:rFonts w:ascii="Arial" w:hAnsi="Arial" w:cs="Arial"/>
          <w:b/>
          <w:bCs/>
          <w:color w:val="000000"/>
          <w:sz w:val="24"/>
          <w:szCs w:val="24"/>
          <w:lang w:val="lv-LV"/>
        </w:rPr>
      </w:pPr>
      <w:r>
        <w:rPr>
          <w:rFonts w:ascii="Arial" w:hAnsi="Arial" w:cs="Arial"/>
          <w:b/>
          <w:bCs/>
          <w:color w:val="000000"/>
          <w:sz w:val="24"/>
          <w:szCs w:val="24"/>
          <w:lang w:val="lv-LV"/>
        </w:rPr>
        <w:t>Uz a/s “VRC Zasulauks” (VRCZ),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pasažieru vilcieni aizkavējušies motorvagonu ritošā sastāva nekvalitatīvā remonta dēļ;</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 xml:space="preserve">pasažieru vilciens aizturēts pēc kontrollīdzekļu (PONAB, DISK, FUES, </w:t>
      </w:r>
      <w:r>
        <w:rPr>
          <w:b w:val="0"/>
          <w:bCs w:val="0"/>
          <w:color w:val="000000"/>
          <w:sz w:val="24"/>
          <w:szCs w:val="24"/>
        </w:rPr>
        <w:lastRenderedPageBreak/>
        <w:t>Mattild) apstiprinātiem rādījumiem – motorvagonu ritošā sastāva nekvalitatīva remonta dēļ šajā remontuzņēmumā;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motorvagonu ritošais sastāvs pēc remonta savlaicīgi nav izdots grafikā paredzētajam vilcienam;</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notikusi ritošā sastāva patvaļīga aizripošana nenostiprināšanas ar bremzes kurpēm dēļ.</w:t>
      </w:r>
    </w:p>
    <w:p w:rsidR="00D13ABD" w:rsidRDefault="00D13ABD">
      <w:pPr>
        <w:pStyle w:val="BodyTextIndent3"/>
        <w:ind w:right="42" w:firstLine="0"/>
        <w:jc w:val="both"/>
        <w:rPr>
          <w:b w:val="0"/>
          <w:bCs w:val="0"/>
          <w:color w:val="FF0000"/>
          <w:sz w:val="16"/>
          <w:szCs w:val="16"/>
        </w:rPr>
      </w:pPr>
    </w:p>
    <w:p w:rsidR="00D13ABD" w:rsidRDefault="00D13ABD" w:rsidP="00D13ABD">
      <w:pPr>
        <w:numPr>
          <w:ilvl w:val="1"/>
          <w:numId w:val="1"/>
        </w:numPr>
        <w:tabs>
          <w:tab w:val="clear" w:pos="2760"/>
          <w:tab w:val="num" w:pos="1418"/>
        </w:tabs>
        <w:ind w:left="0" w:right="42" w:firstLine="709"/>
        <w:jc w:val="both"/>
        <w:rPr>
          <w:rFonts w:ascii="Arial" w:hAnsi="Arial" w:cs="Arial"/>
          <w:b/>
          <w:bCs/>
          <w:color w:val="000000"/>
          <w:sz w:val="24"/>
          <w:szCs w:val="24"/>
          <w:lang w:val="lv-LV"/>
        </w:rPr>
      </w:pPr>
      <w:r>
        <w:rPr>
          <w:rFonts w:ascii="Arial" w:hAnsi="Arial" w:cs="Arial"/>
          <w:b/>
          <w:bCs/>
          <w:color w:val="000000"/>
          <w:sz w:val="24"/>
          <w:szCs w:val="24"/>
          <w:lang w:val="lv-LV"/>
        </w:rPr>
        <w:t>Uz SIA “LDz Infrastruktūra” (INF),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pārsniegts paredzētais "tehnoloģiskā loga" laiks;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“tehnoloģiskā loga” laikā tiek veikti darbi, kas nav paredzēti telegrammā;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ātrums pēc “loga” neatbilst “Instrukcijas par vilcienu kustības drošību nodrošināšanu, veicot ceļa darbus” 1.10. punktam;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netiek ievērots vilcienu kustības grafiks, vilcienu kustības grafikā ātruma ierobežojumu brīdinājumu dēļ, izņemot 3.19. punktā paredzēto gadījumu;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saimniecības vilciens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sz w:val="24"/>
          <w:szCs w:val="24"/>
        </w:rPr>
        <w:t>notikusi ritošā sastāva patvaļīga aizripošana nenostiprināšanas ar bremzes kurpēm dēļ.</w:t>
      </w:r>
    </w:p>
    <w:p w:rsidR="00D13ABD" w:rsidRDefault="00D13ABD">
      <w:pPr>
        <w:pStyle w:val="BodyTextIndent3"/>
        <w:ind w:left="426" w:right="42" w:firstLine="0"/>
        <w:jc w:val="both"/>
        <w:rPr>
          <w:b w:val="0"/>
          <w:bCs w:val="0"/>
          <w:sz w:val="16"/>
          <w:szCs w:val="16"/>
        </w:rPr>
      </w:pPr>
    </w:p>
    <w:p w:rsidR="00D13ABD" w:rsidRDefault="00D13ABD" w:rsidP="00D13ABD">
      <w:pPr>
        <w:numPr>
          <w:ilvl w:val="1"/>
          <w:numId w:val="1"/>
        </w:numPr>
        <w:tabs>
          <w:tab w:val="clear" w:pos="2760"/>
          <w:tab w:val="num" w:pos="1418"/>
        </w:tabs>
        <w:ind w:left="0" w:right="42" w:firstLine="709"/>
        <w:jc w:val="both"/>
        <w:rPr>
          <w:rFonts w:ascii="Arial" w:hAnsi="Arial" w:cs="Arial"/>
          <w:b/>
          <w:bCs/>
          <w:color w:val="000000"/>
          <w:sz w:val="24"/>
          <w:szCs w:val="24"/>
          <w:lang w:val="lv-LV"/>
        </w:rPr>
      </w:pPr>
      <w:r>
        <w:rPr>
          <w:rFonts w:ascii="Arial" w:hAnsi="Arial" w:cs="Arial"/>
          <w:b/>
          <w:bCs/>
          <w:color w:val="000000"/>
          <w:sz w:val="24"/>
          <w:szCs w:val="24"/>
          <w:lang w:val="lv-LV"/>
        </w:rPr>
        <w:t>Uz a/s “Baltijas Ekspresis” (BE), tās darbinieku nepareizas rīcības dēļ, ja: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stacijā vai posmā pieļauta vilcienu grafikā neparedzēta apstāšanās vai aizturēšana lokomotīves brigādes nepareizas rīcības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vilciens aizturēts pēc kontrollīdzekļu (PONAB, DISK, FUES, Mattild) apstiprinātiem rādījumiem;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apturēts lokomotīves brigādes darbaspējas pārbaudei;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lokomotīves brigādes nesavlaicīgas ierašanās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ritošā sastāva patvaļīga aizripošana nenostiprināšanas ar bremzes kurpēm dēļ.</w:t>
      </w:r>
    </w:p>
    <w:p w:rsidR="00D13ABD" w:rsidRDefault="00D13ABD">
      <w:pPr>
        <w:ind w:right="42"/>
        <w:jc w:val="both"/>
        <w:rPr>
          <w:rFonts w:ascii="Arial" w:hAnsi="Arial" w:cs="Arial"/>
          <w:b/>
          <w:bCs/>
          <w:sz w:val="18"/>
          <w:szCs w:val="18"/>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b/>
          <w:bCs/>
          <w:color w:val="000000"/>
          <w:sz w:val="24"/>
          <w:szCs w:val="24"/>
          <w:lang w:val="lv-LV"/>
        </w:rPr>
      </w:pPr>
      <w:r>
        <w:rPr>
          <w:rFonts w:ascii="Arial" w:hAnsi="Arial" w:cs="Arial"/>
          <w:b/>
          <w:bCs/>
          <w:color w:val="000000"/>
          <w:sz w:val="24"/>
          <w:szCs w:val="24"/>
          <w:lang w:val="lv-LV"/>
        </w:rPr>
        <w:t>Uz  a/s “BALTIJAS TRANZĪTA SERVISS” (BTS), tās darbinieku nepareizas rīcības dēļ, ja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nav ievērots braukšanas laiks ceļa posmā;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stacijā vai posmā pieļauta vilcienu grafikā neparedzēta apstāšanās vai aizturēšana lokomotīves brigādes nepareizas rīcības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pēc kontrollīdzekļu (PONAB, DISK, FUES, Mattild) apstiprinātiem rādījumiem;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lokomotīves brigādes nepareiza rīcība, kas izraisījusi vilcienu kustības grafika izjaukšanu;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apturēts lokomotīves brigādes darbaspējas pārbaudei;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vilciens aizturēts lokomotīves brigādes nesavlaicīgas ierašanās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notikusi ritošā sastāva patvaļīga aizripošana nenostiprināšanas ar bremzes kurpēm dēļ.</w:t>
      </w:r>
    </w:p>
    <w:p w:rsidR="00D13ABD" w:rsidRDefault="00D13ABD">
      <w:pPr>
        <w:pStyle w:val="BodyTextIndent3"/>
        <w:ind w:left="426" w:right="42" w:firstLine="0"/>
        <w:jc w:val="both"/>
        <w:rPr>
          <w:b w:val="0"/>
          <w:bCs w:val="0"/>
          <w:sz w:val="24"/>
          <w:szCs w:val="24"/>
        </w:rPr>
      </w:pPr>
    </w:p>
    <w:p w:rsidR="00D13ABD" w:rsidRDefault="00D13ABD" w:rsidP="00D13ABD">
      <w:pPr>
        <w:numPr>
          <w:ilvl w:val="1"/>
          <w:numId w:val="1"/>
        </w:numPr>
        <w:tabs>
          <w:tab w:val="clear" w:pos="2760"/>
          <w:tab w:val="num" w:pos="1418"/>
        </w:tabs>
        <w:ind w:left="0" w:right="42" w:firstLine="709"/>
        <w:jc w:val="both"/>
        <w:rPr>
          <w:rFonts w:ascii="Arial" w:hAnsi="Arial" w:cs="Arial"/>
          <w:b/>
          <w:bCs/>
          <w:sz w:val="24"/>
          <w:szCs w:val="24"/>
          <w:lang w:val="lv-LV"/>
        </w:rPr>
      </w:pPr>
      <w:r>
        <w:rPr>
          <w:rFonts w:ascii="Arial" w:hAnsi="Arial" w:cs="Arial"/>
          <w:b/>
          <w:bCs/>
          <w:sz w:val="24"/>
          <w:szCs w:val="24"/>
          <w:lang w:val="lv-LV"/>
        </w:rPr>
        <w:lastRenderedPageBreak/>
        <w:t>Uz pārējiem iemesliem attiecas šādi gadījumi: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dabas stihijas: - plūdi, viesuļvētra – 25 m/s un vairāk, zemestrīce, atkala uz vadiem un iekārtām – 10 mm un vairāk, gaisa temperatūra augstāka par +30°C un zemāka par – 30°C, diennakts lietus nokrišņu daudzums  pārsniedz 50 mm, stiprs sniegputenis ar vēju 15 m/s un vairāk 8 stundas un ilgāk, stipra snigšana (sniega segas palielināšanās par 60 mm un vairāk), sevišķi bieza sniega kārta;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zibens izlādes iedarbība uz elektrotehniskām iekārtām ar nosacījumu, ka zibens aizsardzības shēmas atbilst tehniskajām normām;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slimo, dzemdētāju iz(ie)sēdināšana, medicīnas darbinieku, kuri dodas sniegt palīdzību, iz(ie)kāpšana;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tiesībsargājošo valsts varas institūciju darbinieku iz(ie)kāpšana;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vilciena piespiedu apturēšana ar stopkrānu;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ugunsgrēks;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vilces ritošā sastāva uzbraukšana citiem transportlīdzekļiem, kā arī cilvēkiem, dzīvniekiem, priekšmetiem (ja nav vainīgi dzelzceļa darbinieki);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ja vilcienu aiztur robežsargu, muitas, sanitārās robežinspekcijas dienesti vai citu valsts kontrolējošo institūciju darbinieki;</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ja "Latvenergo" vainas dēļ nav (vai pazemināts) spriegums kontakttīklā vai elektroapgādes līnijās, kur nav avārijas elektroapgādes;</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nezināmas personas ļaunprātīga rīcība dzelzceļa teritorijā, kas izraisījusi vilcienu kustības grafika izjaukšanu (reģistrēta Transporta policijā);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dzelzceļa infrastruktūras un ritošā sastāva ļaunprātīgi bojājumi un zādzības (reģistrētās Transporta policijā);</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vilcienu aizturēšana pēc kontrolīdzekļu (PONAB, DISK, FUES, Mattild) </w:t>
      </w:r>
      <w:r>
        <w:rPr>
          <w:b w:val="0"/>
          <w:bCs w:val="0"/>
          <w:color w:val="000000"/>
          <w:sz w:val="24"/>
          <w:szCs w:val="24"/>
        </w:rPr>
        <w:t>rādījumiem</w:t>
      </w:r>
      <w:r>
        <w:rPr>
          <w:b w:val="0"/>
          <w:bCs w:val="0"/>
          <w:sz w:val="24"/>
          <w:szCs w:val="24"/>
        </w:rPr>
        <w:t xml:space="preserve"> elektroenerģijas piegādes pārtraukšanas dēļ;</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vilciena aizturēšana pēc kontrollīdzekļu (PONAB, DISK, FUES, Mattild) rādījumiem saules izstarojuma, ritošā sastāva tehnoloģiskās silšanas vai</w:t>
      </w:r>
      <w:r>
        <w:rPr>
          <w:b w:val="0"/>
          <w:bCs w:val="0"/>
          <w:sz w:val="24"/>
          <w:szCs w:val="24"/>
        </w:rPr>
        <w:t xml:space="preserve"> karstu kravu ietekmes dēļ</w:t>
      </w:r>
      <w:r>
        <w:rPr>
          <w:b w:val="0"/>
          <w:bCs w:val="0"/>
          <w:color w:val="000000"/>
          <w:sz w:val="24"/>
          <w:szCs w:val="24"/>
        </w:rPr>
        <w:t>.</w:t>
      </w:r>
    </w:p>
    <w:p w:rsidR="00D13ABD" w:rsidRDefault="00D13ABD">
      <w:pPr>
        <w:pStyle w:val="BodyTextIndent3"/>
        <w:ind w:left="426" w:right="42" w:firstLine="0"/>
        <w:jc w:val="both"/>
        <w:rPr>
          <w:b w:val="0"/>
          <w:bCs w:val="0"/>
          <w:sz w:val="24"/>
          <w:szCs w:val="24"/>
        </w:rPr>
      </w:pPr>
    </w:p>
    <w:p w:rsidR="00D13ABD" w:rsidRDefault="00D13ABD">
      <w:pPr>
        <w:pStyle w:val="BodyTextIndent3"/>
        <w:ind w:left="426" w:right="42" w:firstLine="0"/>
        <w:jc w:val="both"/>
        <w:rPr>
          <w:b w:val="0"/>
          <w:bCs w:val="0"/>
          <w:sz w:val="24"/>
          <w:szCs w:val="24"/>
        </w:rPr>
      </w:pPr>
      <w:r>
        <w:rPr>
          <w:b w:val="0"/>
          <w:bCs w:val="0"/>
          <w:sz w:val="24"/>
          <w:szCs w:val="24"/>
        </w:rPr>
        <w:t>Piezīmes:</w:t>
      </w:r>
    </w:p>
    <w:p w:rsidR="00D13ABD" w:rsidRDefault="00D13ABD" w:rsidP="00D13ABD">
      <w:pPr>
        <w:pStyle w:val="BodyTextIndent3"/>
        <w:numPr>
          <w:ilvl w:val="0"/>
          <w:numId w:val="2"/>
        </w:numPr>
        <w:tabs>
          <w:tab w:val="clear" w:pos="1129"/>
          <w:tab w:val="num" w:pos="851"/>
        </w:tabs>
        <w:ind w:left="851" w:right="42" w:hanging="425"/>
        <w:jc w:val="both"/>
        <w:rPr>
          <w:b w:val="0"/>
          <w:bCs w:val="0"/>
          <w:color w:val="000000"/>
          <w:sz w:val="24"/>
          <w:szCs w:val="24"/>
        </w:rPr>
      </w:pPr>
      <w:r>
        <w:rPr>
          <w:b w:val="0"/>
          <w:bCs w:val="0"/>
          <w:color w:val="000000"/>
          <w:sz w:val="24"/>
          <w:szCs w:val="24"/>
        </w:rPr>
        <w:t>vilcienu aizturēšana citu dzelzceļa infrastruktūras lietotāju vainas dēļ tiek uzskaitīta kā pārējie iemesli, izdalot lietotāju;</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 pārējo iemeslu skaita tiek izdalīti vilcienu kavējumi, kuri notikuši muitas un robežsargu veiktās kontroles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 kaimiņdzelzceļiem ar nokavēšanos pieņemtie kravas un pasažieru vilcieni tiek uzskaitīti kā kavējumi citu dzelzceļu vainas dēļ, izņemot gadījumus, ja ir LDz darbinieku vaina;</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aizturēšana gadījumos, kad vainīgas citas valsts dzelzceļu struktūrvienības darbinieki (vagonu, vilces vai pašgājēja ritošā sastāva tehniskie bojājumi vai to atkabināšana un lokomotīvju maiņa), tiek attiecināta kā kavējumi citu dzelzceļu vainas dēļ;</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ja kravas un pasažieru vilcieni savlaicīgi netiek pieņemti uz kaimiņu dzelzceļiem to darbinieku vainas dēļ, kavējumus uzskaita tikai pēdējā pirms kaimiņdzelzceļa robežstacijas dispečeriecirknī.</w:t>
      </w: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A/s “Starptautiskie pasažieru pārvadājumi” valdes priekšsēdētājs nosūta telegrammu Sadraudzības dalībvalstu Dzelzceļa transporta padomei (DzTP) par starptautiskiem pasažieru vilcieniem, kuri tiek pieņemti vai nodoti uz ārvalstīm ar nokavēšanos.</w:t>
      </w: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 xml:space="preserve">Kravas un pasažieru vilcienu kavēšanās gadījumi, ja šos vilcienus nepieņem kaimiņu iecirkņa Vilcienu kustības organizācijas daļas dispečers, tiek uzskaitīti tanī vilcienu dispečeriecirknī, kurš nepieņem vilcienu. </w:t>
      </w:r>
    </w:p>
    <w:p w:rsidR="00D13ABD" w:rsidRDefault="00D13ABD">
      <w:pPr>
        <w:ind w:right="42" w:firstLine="709"/>
        <w:jc w:val="both"/>
        <w:rPr>
          <w:rFonts w:ascii="Arial" w:hAnsi="Arial" w:cs="Arial"/>
          <w:color w:val="000000"/>
          <w:sz w:val="24"/>
          <w:szCs w:val="24"/>
          <w:lang w:val="lv-LV"/>
        </w:rPr>
      </w:pPr>
      <w:r>
        <w:rPr>
          <w:rFonts w:ascii="Arial" w:hAnsi="Arial" w:cs="Arial"/>
          <w:color w:val="000000"/>
          <w:sz w:val="24"/>
          <w:szCs w:val="24"/>
          <w:lang w:val="lv-LV"/>
        </w:rPr>
        <w:lastRenderedPageBreak/>
        <w:t>Par katru vilcienu, kas aizturēts nepieņemšanas dēļ, konkrēts nepieņemšanas iemesls tiek atzīmēts vilcienu kustības izpildītajā grafikā tajā iecirknī, kur tas radies.</w:t>
      </w:r>
    </w:p>
    <w:p w:rsidR="00D13ABD" w:rsidRDefault="00D13ABD">
      <w:pPr>
        <w:ind w:right="42" w:firstLine="709"/>
        <w:jc w:val="both"/>
        <w:rPr>
          <w:rFonts w:ascii="Arial" w:hAnsi="Arial" w:cs="Arial"/>
          <w:color w:val="000000"/>
          <w:sz w:val="24"/>
          <w:szCs w:val="24"/>
          <w:lang w:val="lv-LV"/>
        </w:rPr>
      </w:pPr>
      <w:r>
        <w:rPr>
          <w:rFonts w:ascii="Arial" w:hAnsi="Arial" w:cs="Arial"/>
          <w:color w:val="000000"/>
          <w:sz w:val="24"/>
          <w:szCs w:val="24"/>
          <w:lang w:val="lv-LV"/>
        </w:rPr>
        <w:t>Bet  kaimiņu iecirkņa Vilcienu kustības organizācijas daļas dispečers, no kura nepieņem vilcienu,  vilcienu kustības izpildītajā grafikā uzrāda iemeslu “kaimiņu iecirknis neveic pieņemšanu”.</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Ja viena vilciena kavējuma dēļ tiek pārkāpts nākošo vilcienu kustības saraksts, to kavējumus attiecina uz pirmā iemeslu, ja nav bijuši citi iemesli.</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Ja negadījuma dēļ tiek atcelti vilcieni, tad tie attiecināmi uz atbildīgo struktūrvienību.</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Ja vilcienu kavējumos ir atbildīgas divas vai vairāk struktūrvienības, vilcienu kavējumus attiecina uz pirmo atbildīgo struktūrvienību, vai proporcionāli katras struktūrvienības vainas pakāpei (pēc atsevišķas izskatīšanas).</w:t>
      </w: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Vilcienu kavējumu cēloņus izskata Vilcienu kustības organizācijas daļas vadītājs (vecākais dispečers) ar iesaistītajām struktūrvienībām 5 darbdienu laikā, domstarpību gadījumos – Ekspluatācijas iecirkņa vadītāja vietnieks kustības organizācijas jautājumos.</w:t>
      </w:r>
    </w:p>
    <w:p w:rsidR="00D13ABD" w:rsidRDefault="00D13ABD" w:rsidP="00D13ABD">
      <w:pPr>
        <w:numPr>
          <w:ilvl w:val="1"/>
          <w:numId w:val="1"/>
        </w:numPr>
        <w:tabs>
          <w:tab w:val="clear" w:pos="2760"/>
          <w:tab w:val="num" w:pos="1418"/>
        </w:tabs>
        <w:ind w:left="0" w:right="42" w:firstLine="709"/>
        <w:jc w:val="both"/>
        <w:rPr>
          <w:rFonts w:ascii="Arial" w:hAnsi="Arial" w:cs="Arial"/>
          <w:color w:val="000000"/>
          <w:sz w:val="24"/>
          <w:szCs w:val="24"/>
          <w:lang w:val="lv-LV"/>
        </w:rPr>
      </w:pPr>
      <w:r>
        <w:rPr>
          <w:rFonts w:ascii="Arial" w:hAnsi="Arial" w:cs="Arial"/>
          <w:color w:val="000000"/>
          <w:sz w:val="24"/>
          <w:szCs w:val="24"/>
          <w:lang w:val="lv-LV"/>
        </w:rPr>
        <w:t>Atsevišķos gadījumos vilcienu kavējumu cēloņus (lai noteiktu atbildīgo struktūrvienību) izskata Kustības organizācijas daļas vadītājs.</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Vilcienu kavējumi celtniecības organizācijas vainas dēļ, neatkarīgi no tās resora piederības, attiecināmi uz struktūrvienību – celtniecības darbu pasūtītāju vai struktūrvienību, kuras pārstāvis ir atbildīgs par darbiem "tehnoloģiskajos logos".</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Ja noteikts vilcienu ātruma ierobežojums negadījuma dēļ, tas tiek pieskaitīts atbildīgajai struktūrvienībai līdz ātruma ierobežojuma novēršanai, kuru nosaka ar rīkojumu. Ja ātruma ierobežojums dotajā termiņā netiek novērsts, tad to tālāk uzskaita attiecīgajai infrastruktūras saimniecībai.</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Vilcienu kavējumi sliežu ķēžu ilgstošu darba traucējumu dēļ (izbirušas ķīmiskās kravas, minerālmēsli) tiek attiecināti uz atbildīgo struktūrvienību vai cita dzelzceļa vainas dēļ pēc atsevišķas izskatīšanas.</w:t>
      </w:r>
    </w:p>
    <w:p w:rsidR="00D13ABD" w:rsidRDefault="00D13ABD">
      <w:pPr>
        <w:ind w:right="42"/>
        <w:jc w:val="both"/>
        <w:rPr>
          <w:rFonts w:ascii="Arial" w:hAnsi="Arial" w:cs="Arial"/>
          <w:sz w:val="24"/>
          <w:szCs w:val="24"/>
          <w:lang w:val="lv-LV"/>
        </w:rPr>
      </w:pP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Dzelzceļa struktūrvienību un iesaistīto organizāciju saīsinājumu atšifrējums norādīts   pielikumā.</w:t>
      </w:r>
    </w:p>
    <w:p w:rsidR="00D13ABD" w:rsidRDefault="00D13ABD">
      <w:pPr>
        <w:ind w:right="42"/>
        <w:jc w:val="both"/>
        <w:rPr>
          <w:rFonts w:ascii="Arial" w:hAnsi="Arial" w:cs="Arial"/>
          <w:sz w:val="24"/>
          <w:szCs w:val="24"/>
          <w:lang w:val="lv-LV"/>
        </w:rPr>
      </w:pPr>
    </w:p>
    <w:p w:rsidR="00D13ABD" w:rsidRDefault="00D13ABD">
      <w:pPr>
        <w:ind w:right="42"/>
        <w:jc w:val="both"/>
        <w:rPr>
          <w:rFonts w:ascii="Arial" w:hAnsi="Arial" w:cs="Arial"/>
          <w:sz w:val="24"/>
          <w:szCs w:val="24"/>
          <w:lang w:val="lv-LV"/>
        </w:rPr>
      </w:pPr>
    </w:p>
    <w:p w:rsidR="00D13ABD" w:rsidRDefault="00D13ABD">
      <w:pPr>
        <w:ind w:right="42"/>
        <w:jc w:val="both"/>
        <w:rPr>
          <w:rFonts w:ascii="Arial" w:hAnsi="Arial" w:cs="Arial"/>
          <w:sz w:val="24"/>
          <w:szCs w:val="24"/>
          <w:lang w:val="lv-LV"/>
        </w:rPr>
      </w:pPr>
    </w:p>
    <w:p w:rsidR="00D13ABD" w:rsidRDefault="00D13ABD" w:rsidP="00D13ABD">
      <w:pPr>
        <w:numPr>
          <w:ilvl w:val="0"/>
          <w:numId w:val="1"/>
        </w:numPr>
        <w:tabs>
          <w:tab w:val="clear" w:pos="2400"/>
          <w:tab w:val="num" w:pos="426"/>
          <w:tab w:val="num" w:pos="1985"/>
        </w:tabs>
        <w:spacing w:before="240" w:after="240"/>
        <w:ind w:left="0" w:firstLine="0"/>
        <w:jc w:val="center"/>
        <w:outlineLvl w:val="0"/>
        <w:rPr>
          <w:rFonts w:ascii="Arial" w:hAnsi="Arial" w:cs="Arial"/>
          <w:b/>
          <w:bCs/>
          <w:caps/>
          <w:sz w:val="24"/>
          <w:szCs w:val="24"/>
          <w:lang w:val="lv-LV"/>
        </w:rPr>
      </w:pPr>
      <w:r>
        <w:rPr>
          <w:rFonts w:ascii="Arial" w:hAnsi="Arial" w:cs="Arial"/>
          <w:b/>
          <w:bCs/>
          <w:caps/>
          <w:sz w:val="24"/>
          <w:szCs w:val="24"/>
          <w:lang w:val="lv-LV"/>
        </w:rPr>
        <w:t>IZPILDĪTĀ VILCIENU KUSTĪBAS GRAFIKA Analīzes tehnoloģija.</w:t>
      </w: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Izpildītā vilcienu kustības grafika analīzi veic vilcienu kustības organizācijas daļas inženieri analizētāji.</w:t>
      </w:r>
      <w:r>
        <w:rPr>
          <w:rFonts w:ascii="Arial" w:hAnsi="Arial" w:cs="Arial"/>
          <w:lang w:val="lv-LV"/>
        </w:rPr>
        <w:t xml:space="preserve"> </w:t>
      </w: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Izpildītā vilcienu kustības grafika analīzes dati tiek ievadīti elektroniski, izmantojot datorus, kuri ir savienoti ar Informatīvās skaitļošanas centra datu bāzi.</w:t>
      </w:r>
    </w:p>
    <w:p w:rsidR="00D13ABD" w:rsidRDefault="00D13ABD">
      <w:pPr>
        <w:ind w:right="42" w:firstLine="709"/>
        <w:jc w:val="both"/>
        <w:rPr>
          <w:rFonts w:ascii="Arial" w:hAnsi="Arial" w:cs="Arial"/>
          <w:sz w:val="24"/>
          <w:szCs w:val="24"/>
          <w:lang w:val="lv-LV"/>
        </w:rPr>
      </w:pPr>
      <w:r>
        <w:rPr>
          <w:rFonts w:ascii="Arial" w:hAnsi="Arial" w:cs="Arial"/>
          <w:sz w:val="24"/>
          <w:szCs w:val="24"/>
          <w:lang w:val="lv-LV"/>
        </w:rPr>
        <w:t>Veidlapās EU-26 un EU-27 tiek ievadīti dati par vilcienu atiešanu no formēšanas stacijām, gala (apgrozības) stacijām, par vilcienu pienākšanu gala (apgrozības) vai izformēšanas stacijā, vilcienu pienākšanas laiks no kaimiņu dispečeriecirkņa un vilciena nodošanas laiks kaimiņu dispečeriecirknim, vilcienu pienākšanas laiks no ārvalstu dzelzceļiem un vilcienu nodošanas laiks ārvalstu dzelzceļiem, kopējo kavējuma laiku un atsevišķi – pēc kavējuma iemesliem.</w:t>
      </w:r>
    </w:p>
    <w:p w:rsidR="00D13ABD" w:rsidRDefault="00D13ABD">
      <w:pPr>
        <w:ind w:right="42" w:firstLine="709"/>
        <w:jc w:val="both"/>
        <w:rPr>
          <w:rFonts w:ascii="Arial" w:hAnsi="Arial" w:cs="Arial"/>
          <w:sz w:val="24"/>
          <w:szCs w:val="24"/>
          <w:lang w:val="lv-LV"/>
        </w:rPr>
      </w:pPr>
    </w:p>
    <w:p w:rsidR="00D13ABD" w:rsidRDefault="00D13ABD" w:rsidP="00D13ABD">
      <w:pPr>
        <w:numPr>
          <w:ilvl w:val="1"/>
          <w:numId w:val="1"/>
        </w:numPr>
        <w:tabs>
          <w:tab w:val="clear" w:pos="2760"/>
          <w:tab w:val="num" w:pos="1418"/>
        </w:tabs>
        <w:ind w:left="0" w:right="42" w:firstLine="709"/>
        <w:jc w:val="both"/>
        <w:rPr>
          <w:rFonts w:ascii="Arial" w:hAnsi="Arial" w:cs="Arial"/>
          <w:sz w:val="24"/>
          <w:szCs w:val="24"/>
          <w:lang w:val="lv-LV"/>
        </w:rPr>
      </w:pPr>
      <w:r>
        <w:rPr>
          <w:rFonts w:ascii="Arial" w:hAnsi="Arial" w:cs="Arial"/>
          <w:sz w:val="24"/>
          <w:szCs w:val="24"/>
          <w:lang w:val="lv-LV"/>
        </w:rPr>
        <w:t>Pastāvīgi tiek veikta analīze un uzskaite:</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pasažieru un kravas vilcienu kustības grafiku analīze (kravas vilcieniem-</w:t>
      </w:r>
      <w:r>
        <w:rPr>
          <w:sz w:val="24"/>
          <w:szCs w:val="24"/>
        </w:rPr>
        <w:t xml:space="preserve"> </w:t>
      </w:r>
      <w:r>
        <w:rPr>
          <w:b w:val="0"/>
          <w:bCs w:val="0"/>
          <w:sz w:val="24"/>
          <w:szCs w:val="24"/>
        </w:rPr>
        <w:t>veidlapas EU-26 aizpilde, pasažieru vilcieniem veidlapas EU-27 aizpilde);</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visu vilcienu uzskaite dispečeriecirkņos un uzskaite par vilcienu nobraukumiem (veidlapa KU–28);</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lastRenderedPageBreak/>
        <w:t>kravas vilcienu kustības grafika pārkāpumi (makets 2224);</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pasažieru vilcienu kustības grafika pārkāpumi (makets 2225);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pasažieru vilcienu kustības grafika pārkāpumu iemesli (makets  2226 un 2227);</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grafika pielikums (makets 2228);</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pārskata sastādīšana par kravas un pasažieru vilcienu kustības grafika izpildi (veidlapa EA–12);</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pārskata par kravas vilcienu darba rādītājiem sastādīšana (veidlapa EA–18);</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par pilna svara un pilna sastāva kravas vilcieniem sastādīšana (veidlapas EA-42);</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par vilcienu kustības grafika izpildi sastādīšana (veidlapa EIS-1);</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nokavēšanās dienasgrāmatas sastādīšana (veidlapa EIS-2 kravas vilcieniem; veidlapa EIS-7 pasažieru vilcieniem);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uzskaites dienasgrāmatas par nepilna svara un nepilna sastāva vilcieniem sastādīšana (veidlapa EIS-3);</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par pārdeves vilcienu daudzumu sastādīšana (veidlapa EIS-4);</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par pasažieru vilcienu atiešanu un caurbraukšanu sastādīšana (veidlapa EIS-9);</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sastādīšana par vilcienu nokavēšanu pa dienestiem (veidlapa EIS-11 gan kravas, gan pasažieru vilcieniem);</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sastādīšana par lokomotīves un saimniecības vilcienu kustību (veidlapa EIS-12);</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sastādīšana par kravas vilcienu atiešanu un caurbraukšanu (veidlapa EIS-14);</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izziņas sastādīšana par saimniecības vilcienu daudzumu (veidlapa EIS-15);</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 xml:space="preserve">izziņas sastādīšana par atceltiem vai papildus vilcieniem, kā arī par koriģēto sarakstu (veidlapa EIS-16);  </w:t>
      </w:r>
    </w:p>
    <w:p w:rsidR="00D13ABD" w:rsidRDefault="00D13ABD" w:rsidP="00D13ABD">
      <w:pPr>
        <w:pStyle w:val="BodyTextIndent3"/>
        <w:numPr>
          <w:ilvl w:val="0"/>
          <w:numId w:val="2"/>
        </w:numPr>
        <w:tabs>
          <w:tab w:val="clear" w:pos="1129"/>
          <w:tab w:val="num" w:pos="851"/>
        </w:tabs>
        <w:ind w:left="851" w:right="42" w:hanging="425"/>
        <w:jc w:val="both"/>
        <w:rPr>
          <w:b w:val="0"/>
          <w:bCs w:val="0"/>
          <w:sz w:val="24"/>
          <w:szCs w:val="24"/>
        </w:rPr>
      </w:pPr>
      <w:r>
        <w:rPr>
          <w:b w:val="0"/>
          <w:bCs w:val="0"/>
          <w:sz w:val="24"/>
          <w:szCs w:val="24"/>
        </w:rPr>
        <w:t>vilcienu kustības analīze pēc pārvadātājiem (veidlapa EIS-17).</w:t>
      </w:r>
    </w:p>
    <w:p w:rsidR="00D13ABD" w:rsidRDefault="00D13ABD">
      <w:pPr>
        <w:ind w:right="42"/>
        <w:jc w:val="both"/>
        <w:rPr>
          <w:rFonts w:ascii="Arial" w:hAnsi="Arial" w:cs="Arial"/>
          <w:sz w:val="24"/>
          <w:szCs w:val="24"/>
          <w:lang w:val="lv-LV"/>
        </w:rPr>
      </w:pPr>
    </w:p>
    <w:p w:rsidR="00D13ABD" w:rsidRDefault="00D13ABD">
      <w:pPr>
        <w:pStyle w:val="BodyText2"/>
        <w:tabs>
          <w:tab w:val="clear" w:pos="567"/>
        </w:tabs>
        <w:ind w:firstLine="709"/>
        <w:rPr>
          <w:color w:val="auto"/>
        </w:rPr>
      </w:pPr>
      <w:r>
        <w:rPr>
          <w:color w:val="auto"/>
        </w:rPr>
        <w:t>Nepieciešamo rādītāju analīzes rezultātus katru diennakti izskata Vilcienu kustības organizācijas daļas vadītājs (vecākais dispečers).</w:t>
      </w:r>
    </w:p>
    <w:p w:rsidR="00D13ABD" w:rsidRDefault="00D13ABD">
      <w:pPr>
        <w:pStyle w:val="BodyText2"/>
        <w:tabs>
          <w:tab w:val="clear" w:pos="567"/>
        </w:tabs>
        <w:ind w:firstLine="709"/>
        <w:rPr>
          <w:color w:val="auto"/>
        </w:rPr>
      </w:pPr>
      <w:r>
        <w:rPr>
          <w:color w:val="auto"/>
        </w:rPr>
        <w:t>Katra mēneša 1. datumā inženieri analizētāji formē un sniedz pārskatus par iepriekšējā mēneša rezultātiem. Var arī veidot pārskatus par šādiem periodiem: par diennakti, mēnesi, ceturksni, pusgadu, gadu vai noteikto periodu.</w:t>
      </w:r>
    </w:p>
    <w:p w:rsidR="00D13ABD" w:rsidRDefault="00D13ABD">
      <w:pPr>
        <w:pStyle w:val="BodyText2"/>
        <w:tabs>
          <w:tab w:val="clear" w:pos="567"/>
        </w:tabs>
        <w:ind w:firstLine="709"/>
        <w:rPr>
          <w:color w:val="auto"/>
        </w:rPr>
      </w:pPr>
      <w:r>
        <w:rPr>
          <w:color w:val="auto"/>
        </w:rPr>
        <w:t xml:space="preserve">Inženieri analizētāji sniedz informāciju par nokavēto vilcienu daudzumu un vilcienu kustības izjaukšanas iemesliem līdzdalīgām struktūrām pēc pieprasījuma.  </w:t>
      </w:r>
    </w:p>
    <w:p w:rsidR="00D13ABD" w:rsidRDefault="00D13ABD">
      <w:pPr>
        <w:ind w:right="42"/>
        <w:jc w:val="both"/>
        <w:rPr>
          <w:rFonts w:ascii="Arial" w:hAnsi="Arial" w:cs="Arial"/>
          <w:sz w:val="24"/>
          <w:szCs w:val="24"/>
          <w:lang w:val="lv-LV"/>
        </w:rPr>
      </w:pPr>
      <w:r>
        <w:rPr>
          <w:rFonts w:ascii="Arial" w:hAnsi="Arial" w:cs="Arial"/>
          <w:sz w:val="24"/>
          <w:szCs w:val="24"/>
          <w:lang w:val="lv-LV"/>
        </w:rPr>
        <w:t xml:space="preserve"> </w:t>
      </w:r>
    </w:p>
    <w:p w:rsidR="00D13ABD" w:rsidRDefault="00D13ABD">
      <w:pPr>
        <w:ind w:right="42" w:firstLine="709"/>
        <w:rPr>
          <w:rFonts w:ascii="Arial" w:hAnsi="Arial" w:cs="Arial"/>
          <w:color w:val="000000"/>
          <w:sz w:val="24"/>
          <w:szCs w:val="24"/>
          <w:lang w:val="lv-LV"/>
        </w:rPr>
      </w:pPr>
      <w:r>
        <w:rPr>
          <w:rFonts w:ascii="Arial" w:hAnsi="Arial" w:cs="Arial"/>
          <w:color w:val="000000"/>
          <w:sz w:val="24"/>
          <w:szCs w:val="24"/>
          <w:lang w:val="lv-LV"/>
        </w:rPr>
        <w:t>Instrukcija stājas spēkā ar 2008. gada 1. janvāri.</w:t>
      </w:r>
    </w:p>
    <w:p w:rsidR="00D13ABD" w:rsidRDefault="00D13ABD">
      <w:pPr>
        <w:ind w:right="42" w:firstLine="709"/>
        <w:rPr>
          <w:rFonts w:ascii="Arial" w:hAnsi="Arial" w:cs="Arial"/>
          <w:sz w:val="24"/>
          <w:szCs w:val="24"/>
          <w:lang w:val="lv-LV"/>
        </w:rPr>
      </w:pPr>
      <w:r>
        <w:rPr>
          <w:rFonts w:ascii="Arial" w:hAnsi="Arial" w:cs="Arial"/>
          <w:sz w:val="24"/>
          <w:szCs w:val="24"/>
          <w:lang w:val="lv-LV"/>
        </w:rPr>
        <w:t>2002.gada 11.marta instrukciju Nr.DC-1 uzskatīt par spēku zaudējušu.</w:t>
      </w:r>
    </w:p>
    <w:p w:rsidR="00D13ABD" w:rsidRDefault="00D13ABD">
      <w:pPr>
        <w:ind w:right="42" w:firstLine="709"/>
        <w:rPr>
          <w:rFonts w:ascii="Arial" w:hAnsi="Arial" w:cs="Arial"/>
          <w:sz w:val="24"/>
          <w:szCs w:val="24"/>
          <w:lang w:val="lv-LV"/>
        </w:rPr>
      </w:pPr>
    </w:p>
    <w:p w:rsidR="00D13ABD" w:rsidRDefault="00D13ABD">
      <w:pPr>
        <w:ind w:right="42" w:firstLine="709"/>
        <w:rPr>
          <w:rFonts w:ascii="Arial" w:hAnsi="Arial" w:cs="Arial"/>
          <w:sz w:val="24"/>
          <w:szCs w:val="24"/>
          <w:lang w:val="lv-LV"/>
        </w:rPr>
      </w:pPr>
    </w:p>
    <w:p w:rsidR="00D13ABD" w:rsidRDefault="00D13ABD">
      <w:pPr>
        <w:ind w:right="42" w:firstLine="709"/>
        <w:rPr>
          <w:rFonts w:ascii="Arial" w:hAnsi="Arial" w:cs="Arial"/>
          <w:sz w:val="24"/>
          <w:szCs w:val="24"/>
          <w:lang w:val="lv-LV"/>
        </w:rPr>
      </w:pPr>
    </w:p>
    <w:p w:rsidR="00D13ABD" w:rsidRDefault="00D13ABD">
      <w:pPr>
        <w:pStyle w:val="Heading9"/>
        <w:ind w:firstLine="0"/>
      </w:pPr>
      <w:r>
        <w:t>Tehniskās vadības direktora vietnieks                                        A. Dičmons</w:t>
      </w:r>
    </w:p>
    <w:p w:rsidR="00D13ABD" w:rsidRDefault="00D13ABD">
      <w:pPr>
        <w:ind w:right="42" w:firstLine="720"/>
        <w:rPr>
          <w:color w:val="FF0000"/>
          <w:sz w:val="16"/>
          <w:szCs w:val="16"/>
          <w:lang w:val="lv-LV"/>
        </w:rPr>
      </w:pPr>
    </w:p>
    <w:p w:rsidR="00D13ABD" w:rsidRDefault="00D13ABD">
      <w:pPr>
        <w:ind w:right="42" w:firstLine="720"/>
        <w:rPr>
          <w:color w:val="FF0000"/>
          <w:sz w:val="16"/>
          <w:szCs w:val="16"/>
          <w:lang w:val="lv-LV"/>
        </w:rPr>
      </w:pPr>
    </w:p>
    <w:p w:rsidR="00D13ABD" w:rsidRDefault="00D13ABD">
      <w:pPr>
        <w:ind w:right="42"/>
        <w:rPr>
          <w:lang w:val="lv-LV"/>
        </w:rPr>
      </w:pPr>
    </w:p>
    <w:p w:rsidR="009F63D5" w:rsidRDefault="009F63D5">
      <w:pPr>
        <w:ind w:right="42"/>
        <w:rPr>
          <w:lang w:val="lv-LV"/>
        </w:rPr>
      </w:pPr>
    </w:p>
    <w:p w:rsidR="009F63D5" w:rsidRDefault="009F63D5">
      <w:pPr>
        <w:ind w:right="42"/>
        <w:rPr>
          <w:lang w:val="lv-LV"/>
        </w:rPr>
      </w:pPr>
    </w:p>
    <w:p w:rsidR="009F63D5" w:rsidRDefault="009F63D5">
      <w:pPr>
        <w:ind w:right="42"/>
        <w:rPr>
          <w:lang w:val="lv-LV"/>
        </w:rPr>
      </w:pPr>
    </w:p>
    <w:p w:rsidR="009F63D5" w:rsidRDefault="009F63D5">
      <w:pPr>
        <w:ind w:right="42"/>
        <w:rPr>
          <w:lang w:val="lv-LV"/>
        </w:rPr>
      </w:pPr>
    </w:p>
    <w:p w:rsidR="009F63D5" w:rsidRDefault="009F63D5">
      <w:pPr>
        <w:ind w:right="42"/>
        <w:rPr>
          <w:lang w:val="lv-LV"/>
        </w:rPr>
      </w:pPr>
    </w:p>
    <w:p w:rsidR="004D79E4" w:rsidRDefault="004D79E4">
      <w:pPr>
        <w:ind w:right="42"/>
        <w:rPr>
          <w:lang w:val="lv-LV"/>
        </w:rPr>
      </w:pPr>
    </w:p>
    <w:p w:rsidR="009F63D5" w:rsidRDefault="009F63D5">
      <w:pPr>
        <w:ind w:right="42"/>
        <w:rPr>
          <w:lang w:val="lv-LV"/>
        </w:rPr>
      </w:pPr>
    </w:p>
    <w:p w:rsidR="00D13ABD" w:rsidRDefault="00D13ABD">
      <w:pPr>
        <w:ind w:right="42"/>
        <w:rPr>
          <w:lang w:val="lv-LV"/>
        </w:rPr>
      </w:pPr>
    </w:p>
    <w:p w:rsidR="00D13ABD" w:rsidRDefault="009F63D5">
      <w:pPr>
        <w:ind w:right="42"/>
        <w:rPr>
          <w:rFonts w:ascii="Arial" w:hAnsi="Arial" w:cs="Arial"/>
          <w:color w:val="000000"/>
          <w:sz w:val="24"/>
          <w:szCs w:val="24"/>
          <w:lang w:val="lv-LV"/>
        </w:rPr>
      </w:pPr>
      <w:r>
        <w:rPr>
          <w:lang w:val="lv-LV"/>
        </w:rPr>
        <w:t xml:space="preserve"> Voļpere</w:t>
      </w:r>
      <w:r w:rsidR="00D13ABD">
        <w:rPr>
          <w:lang w:val="lv-LV"/>
        </w:rPr>
        <w:t xml:space="preserve"> 7233625</w:t>
      </w:r>
    </w:p>
    <w:p w:rsidR="00D13ABD" w:rsidRDefault="00D13ABD">
      <w:pPr>
        <w:pStyle w:val="BodyText2"/>
        <w:tabs>
          <w:tab w:val="clear" w:pos="567"/>
        </w:tabs>
        <w:spacing w:line="360" w:lineRule="auto"/>
        <w:ind w:right="0" w:firstLine="709"/>
        <w:rPr>
          <w:color w:val="auto"/>
        </w:rPr>
      </w:pPr>
      <w:r>
        <w:rPr>
          <w:color w:val="auto"/>
        </w:rPr>
        <w:lastRenderedPageBreak/>
        <w:t xml:space="preserve">                                                                                       </w:t>
      </w:r>
    </w:p>
    <w:p w:rsidR="00D13ABD" w:rsidRDefault="00D13ABD">
      <w:pPr>
        <w:pStyle w:val="BodyText2"/>
        <w:tabs>
          <w:tab w:val="clear" w:pos="567"/>
        </w:tabs>
        <w:spacing w:line="360" w:lineRule="auto"/>
        <w:ind w:right="0" w:firstLine="709"/>
        <w:jc w:val="right"/>
        <w:rPr>
          <w:color w:val="auto"/>
        </w:rPr>
      </w:pPr>
      <w:r>
        <w:rPr>
          <w:color w:val="auto"/>
        </w:rPr>
        <w:t xml:space="preserve">  Pielikums </w:t>
      </w:r>
    </w:p>
    <w:p w:rsidR="00D13ABD" w:rsidRDefault="00D13ABD">
      <w:pPr>
        <w:pStyle w:val="BodyText2"/>
        <w:tabs>
          <w:tab w:val="clear" w:pos="567"/>
        </w:tabs>
        <w:spacing w:line="360" w:lineRule="auto"/>
        <w:ind w:right="0"/>
      </w:pPr>
    </w:p>
    <w:p w:rsidR="00D13ABD" w:rsidRDefault="00D13ABD">
      <w:pPr>
        <w:pStyle w:val="BodyText2"/>
        <w:tabs>
          <w:tab w:val="clear" w:pos="567"/>
        </w:tabs>
        <w:spacing w:line="360" w:lineRule="auto"/>
        <w:ind w:right="0" w:firstLine="709"/>
        <w:rPr>
          <w:color w:val="auto"/>
        </w:rPr>
      </w:pPr>
      <w:r>
        <w:rPr>
          <w:color w:val="auto"/>
        </w:rPr>
        <w:t>Dzelzceļa struktūrvienību un iesaistīto organizāciju saīsinājumu atšifrējums</w:t>
      </w:r>
    </w:p>
    <w:p w:rsidR="00D13ABD" w:rsidRDefault="00D13ABD">
      <w:pPr>
        <w:pStyle w:val="BodyText2"/>
        <w:tabs>
          <w:tab w:val="clear" w:pos="567"/>
        </w:tabs>
        <w:spacing w:line="360" w:lineRule="auto"/>
        <w:ind w:right="0" w:firstLine="709"/>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1891"/>
      </w:tblGrid>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284"/>
              <w:jc w:val="left"/>
              <w:rPr>
                <w:color w:val="auto"/>
              </w:rPr>
            </w:pPr>
            <w:r>
              <w:rPr>
                <w:color w:val="auto"/>
              </w:rPr>
              <w:t>Kods</w:t>
            </w:r>
          </w:p>
        </w:tc>
        <w:tc>
          <w:tcPr>
            <w:tcW w:w="5812" w:type="dxa"/>
          </w:tcPr>
          <w:p w:rsidR="00D13ABD" w:rsidRDefault="00D13ABD">
            <w:pPr>
              <w:pStyle w:val="BodyText2"/>
              <w:tabs>
                <w:tab w:val="clear" w:pos="567"/>
              </w:tabs>
              <w:spacing w:line="360" w:lineRule="auto"/>
              <w:ind w:right="0" w:firstLine="709"/>
              <w:rPr>
                <w:color w:val="auto"/>
              </w:rPr>
            </w:pPr>
            <w:r>
              <w:rPr>
                <w:color w:val="auto"/>
              </w:rPr>
              <w:t>Nosaukums</w:t>
            </w:r>
          </w:p>
        </w:tc>
        <w:tc>
          <w:tcPr>
            <w:tcW w:w="1891" w:type="dxa"/>
          </w:tcPr>
          <w:p w:rsidR="00D13ABD" w:rsidRDefault="00D13ABD">
            <w:pPr>
              <w:pStyle w:val="BodyText2"/>
              <w:tabs>
                <w:tab w:val="clear" w:pos="567"/>
              </w:tabs>
              <w:spacing w:line="360" w:lineRule="auto"/>
              <w:ind w:right="0"/>
              <w:jc w:val="left"/>
              <w:rPr>
                <w:color w:val="auto"/>
              </w:rPr>
            </w:pPr>
            <w:r>
              <w:rPr>
                <w:color w:val="auto"/>
              </w:rPr>
              <w:t>Atkarīgā</w:t>
            </w:r>
          </w:p>
          <w:p w:rsidR="00D13ABD" w:rsidRDefault="00D13ABD">
            <w:pPr>
              <w:pStyle w:val="BodyText2"/>
              <w:tabs>
                <w:tab w:val="clear" w:pos="567"/>
              </w:tabs>
              <w:spacing w:line="360" w:lineRule="auto"/>
              <w:ind w:right="0"/>
              <w:jc w:val="left"/>
              <w:rPr>
                <w:color w:val="auto"/>
              </w:rPr>
            </w:pPr>
            <w:r>
              <w:rPr>
                <w:color w:val="auto"/>
              </w:rPr>
              <w:t>sabiedrība</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DKR</w:t>
            </w:r>
          </w:p>
        </w:tc>
        <w:tc>
          <w:tcPr>
            <w:tcW w:w="5812" w:type="dxa"/>
          </w:tcPr>
          <w:p w:rsidR="00D13ABD" w:rsidRDefault="00D13ABD">
            <w:pPr>
              <w:pStyle w:val="BodyText2"/>
              <w:tabs>
                <w:tab w:val="clear" w:pos="567"/>
              </w:tabs>
              <w:spacing w:line="360" w:lineRule="auto"/>
              <w:ind w:right="0" w:firstLine="175"/>
              <w:rPr>
                <w:color w:val="auto"/>
              </w:rPr>
            </w:pPr>
            <w:r>
              <w:rPr>
                <w:color w:val="auto"/>
              </w:rPr>
              <w:t>Ritošā sastāva daļa</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DKT</w:t>
            </w:r>
          </w:p>
        </w:tc>
        <w:tc>
          <w:tcPr>
            <w:tcW w:w="5812" w:type="dxa"/>
          </w:tcPr>
          <w:p w:rsidR="00D13ABD" w:rsidRDefault="00D13ABD">
            <w:pPr>
              <w:pStyle w:val="BodyText2"/>
              <w:tabs>
                <w:tab w:val="clear" w:pos="567"/>
              </w:tabs>
              <w:spacing w:line="360" w:lineRule="auto"/>
              <w:ind w:right="0" w:firstLine="175"/>
              <w:rPr>
                <w:color w:val="auto"/>
              </w:rPr>
            </w:pPr>
            <w:r>
              <w:rPr>
                <w:color w:val="auto"/>
              </w:rPr>
              <w:t>Tehnoloģijas daļa (stacijas)</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DKO</w:t>
            </w:r>
          </w:p>
        </w:tc>
        <w:tc>
          <w:tcPr>
            <w:tcW w:w="5812" w:type="dxa"/>
          </w:tcPr>
          <w:p w:rsidR="00D13ABD" w:rsidRDefault="00D13ABD">
            <w:pPr>
              <w:pStyle w:val="BodyText2"/>
              <w:tabs>
                <w:tab w:val="clear" w:pos="567"/>
              </w:tabs>
              <w:spacing w:line="360" w:lineRule="auto"/>
              <w:ind w:right="0" w:firstLine="175"/>
              <w:rPr>
                <w:color w:val="auto"/>
              </w:rPr>
            </w:pPr>
            <w:r>
              <w:rPr>
                <w:color w:val="auto"/>
              </w:rPr>
              <w:t>Kustības organizācijas daļa (dispečeri)</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T</w:t>
            </w:r>
          </w:p>
        </w:tc>
        <w:tc>
          <w:tcPr>
            <w:tcW w:w="5812" w:type="dxa"/>
          </w:tcPr>
          <w:p w:rsidR="00D13ABD" w:rsidRDefault="00D13ABD">
            <w:pPr>
              <w:pStyle w:val="BodyText2"/>
              <w:tabs>
                <w:tab w:val="clear" w:pos="567"/>
              </w:tabs>
              <w:spacing w:line="360" w:lineRule="auto"/>
              <w:ind w:right="0" w:firstLine="175"/>
              <w:rPr>
                <w:color w:val="auto"/>
              </w:rPr>
            </w:pPr>
            <w:r>
              <w:rPr>
                <w:color w:val="auto"/>
              </w:rPr>
              <w:t>Elektrotehniskā saimniecība</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C</w:t>
            </w:r>
          </w:p>
        </w:tc>
        <w:tc>
          <w:tcPr>
            <w:tcW w:w="5812" w:type="dxa"/>
          </w:tcPr>
          <w:p w:rsidR="00D13ABD" w:rsidRDefault="00D13ABD">
            <w:pPr>
              <w:pStyle w:val="BodyText2"/>
              <w:tabs>
                <w:tab w:val="clear" w:pos="567"/>
              </w:tabs>
              <w:spacing w:line="360" w:lineRule="auto"/>
              <w:ind w:right="0" w:firstLine="175"/>
              <w:rPr>
                <w:color w:val="auto"/>
              </w:rPr>
            </w:pPr>
            <w:r>
              <w:rPr>
                <w:color w:val="auto"/>
              </w:rPr>
              <w:t>Ceļu saimniecība</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ISC</w:t>
            </w:r>
          </w:p>
        </w:tc>
        <w:tc>
          <w:tcPr>
            <w:tcW w:w="5812" w:type="dxa"/>
          </w:tcPr>
          <w:p w:rsidR="00D13ABD" w:rsidRDefault="00D13ABD">
            <w:pPr>
              <w:pStyle w:val="BodyText2"/>
              <w:tabs>
                <w:tab w:val="clear" w:pos="567"/>
              </w:tabs>
              <w:spacing w:line="360" w:lineRule="auto"/>
              <w:ind w:right="0" w:firstLine="175"/>
              <w:rPr>
                <w:color w:val="auto"/>
              </w:rPr>
            </w:pPr>
            <w:r>
              <w:rPr>
                <w:color w:val="auto"/>
              </w:rPr>
              <w:t>Informatīvās skaitļošanas centrs</w:t>
            </w:r>
          </w:p>
        </w:tc>
        <w:tc>
          <w:tcPr>
            <w:tcW w:w="1891" w:type="dxa"/>
          </w:tcPr>
          <w:p w:rsidR="00D13ABD" w:rsidRDefault="00D13ABD">
            <w:pPr>
              <w:pStyle w:val="BodyText2"/>
              <w:tabs>
                <w:tab w:val="clear" w:pos="567"/>
              </w:tabs>
              <w:spacing w:line="360" w:lineRule="auto"/>
              <w:ind w:right="0" w:firstLine="175"/>
              <w:rPr>
                <w:color w:val="auto"/>
              </w:rPr>
            </w:pPr>
            <w:r>
              <w:rPr>
                <w:color w:val="auto"/>
              </w:rPr>
              <w:t>DT</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pPr>
            <w:r>
              <w:t>SPP</w:t>
            </w:r>
          </w:p>
        </w:tc>
        <w:tc>
          <w:tcPr>
            <w:tcW w:w="5812" w:type="dxa"/>
          </w:tcPr>
          <w:p w:rsidR="00D13ABD" w:rsidRDefault="00D13ABD">
            <w:pPr>
              <w:pStyle w:val="BodyText2"/>
              <w:tabs>
                <w:tab w:val="clear" w:pos="567"/>
              </w:tabs>
              <w:spacing w:line="360" w:lineRule="auto"/>
              <w:ind w:right="0" w:firstLine="175"/>
            </w:pPr>
            <w:r>
              <w:t>A/S “</w:t>
            </w:r>
            <w:r w:rsidR="009F63D5">
              <w:t>Cargo</w:t>
            </w:r>
            <w:r>
              <w:t>”</w:t>
            </w:r>
          </w:p>
        </w:tc>
        <w:tc>
          <w:tcPr>
            <w:tcW w:w="1891" w:type="dxa"/>
          </w:tcPr>
          <w:p w:rsidR="00D13ABD" w:rsidRDefault="00D13ABD">
            <w:pPr>
              <w:pStyle w:val="BodyText2"/>
              <w:tabs>
                <w:tab w:val="clear" w:pos="567"/>
              </w:tabs>
              <w:spacing w:line="360" w:lineRule="auto"/>
              <w:ind w:right="0" w:firstLine="175"/>
            </w:pPr>
            <w:r>
              <w:t>SPP</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pPr>
            <w:r>
              <w:t>PV(D)</w:t>
            </w:r>
          </w:p>
        </w:tc>
        <w:tc>
          <w:tcPr>
            <w:tcW w:w="5812" w:type="dxa"/>
          </w:tcPr>
          <w:p w:rsidR="00D13ABD" w:rsidRDefault="00D13ABD">
            <w:pPr>
              <w:pStyle w:val="BodyText2"/>
              <w:tabs>
                <w:tab w:val="clear" w:pos="567"/>
              </w:tabs>
              <w:spacing w:line="360" w:lineRule="auto"/>
              <w:ind w:right="0" w:firstLine="175"/>
            </w:pPr>
            <w:r>
              <w:t>A/S “Pasažieru vilciens” dīzeļvilcieni</w:t>
            </w:r>
          </w:p>
        </w:tc>
        <w:tc>
          <w:tcPr>
            <w:tcW w:w="1891" w:type="dxa"/>
          </w:tcPr>
          <w:p w:rsidR="00D13ABD" w:rsidRDefault="00D13ABD">
            <w:pPr>
              <w:pStyle w:val="BodyText2"/>
              <w:tabs>
                <w:tab w:val="clear" w:pos="567"/>
              </w:tabs>
              <w:spacing w:line="360" w:lineRule="auto"/>
              <w:ind w:right="0" w:firstLine="175"/>
            </w:pPr>
            <w:r>
              <w:t>AS”PV”</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pPr>
            <w:r>
              <w:t>PV(E)</w:t>
            </w:r>
          </w:p>
        </w:tc>
        <w:tc>
          <w:tcPr>
            <w:tcW w:w="5812" w:type="dxa"/>
          </w:tcPr>
          <w:p w:rsidR="00D13ABD" w:rsidRDefault="00D13ABD">
            <w:pPr>
              <w:pStyle w:val="BodyText2"/>
              <w:tabs>
                <w:tab w:val="clear" w:pos="567"/>
              </w:tabs>
              <w:spacing w:line="360" w:lineRule="auto"/>
              <w:ind w:right="0" w:firstLine="175"/>
            </w:pPr>
            <w:r>
              <w:t>A/S “Pasažieru vilciens” elektrovilcieni</w:t>
            </w:r>
          </w:p>
        </w:tc>
        <w:tc>
          <w:tcPr>
            <w:tcW w:w="1891" w:type="dxa"/>
          </w:tcPr>
          <w:p w:rsidR="00D13ABD" w:rsidRDefault="00D13ABD">
            <w:pPr>
              <w:pStyle w:val="BodyText2"/>
              <w:tabs>
                <w:tab w:val="clear" w:pos="567"/>
              </w:tabs>
              <w:spacing w:line="360" w:lineRule="auto"/>
              <w:ind w:right="0" w:firstLine="175"/>
            </w:pPr>
            <w:r>
              <w:t>AS”PV”</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KMO</w:t>
            </w:r>
          </w:p>
        </w:tc>
        <w:tc>
          <w:tcPr>
            <w:tcW w:w="5812" w:type="dxa"/>
          </w:tcPr>
          <w:p w:rsidR="00D13ABD" w:rsidRDefault="00D13ABD">
            <w:pPr>
              <w:pStyle w:val="BodyText2"/>
              <w:tabs>
                <w:tab w:val="clear" w:pos="567"/>
              </w:tabs>
              <w:spacing w:line="360" w:lineRule="auto"/>
              <w:ind w:right="0" w:firstLine="175"/>
              <w:rPr>
                <w:color w:val="auto"/>
                <w:lang w:val="en-US"/>
              </w:rPr>
            </w:pPr>
            <w:r>
              <w:rPr>
                <w:color w:val="auto"/>
                <w:lang w:val="en-US"/>
              </w:rPr>
              <w:t>SIA “LDz Cargo” Komercdarba organizācijas daļa</w:t>
            </w:r>
          </w:p>
        </w:tc>
        <w:tc>
          <w:tcPr>
            <w:tcW w:w="1891" w:type="dxa"/>
          </w:tcPr>
          <w:p w:rsidR="00D13ABD" w:rsidRDefault="00D13ABD">
            <w:pPr>
              <w:pStyle w:val="BodyText2"/>
              <w:tabs>
                <w:tab w:val="clear" w:pos="567"/>
              </w:tabs>
              <w:spacing w:line="360" w:lineRule="auto"/>
              <w:ind w:right="0" w:firstLine="175"/>
              <w:rPr>
                <w:color w:val="auto"/>
              </w:rPr>
            </w:pPr>
            <w:r>
              <w:rPr>
                <w:color w:val="auto"/>
              </w:rPr>
              <w:t>K</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KTL</w:t>
            </w:r>
          </w:p>
        </w:tc>
        <w:tc>
          <w:tcPr>
            <w:tcW w:w="5812" w:type="dxa"/>
          </w:tcPr>
          <w:p w:rsidR="00D13ABD" w:rsidRDefault="00D13ABD">
            <w:pPr>
              <w:pStyle w:val="BodyText2"/>
              <w:tabs>
                <w:tab w:val="clear" w:pos="567"/>
              </w:tabs>
              <w:spacing w:line="360" w:lineRule="auto"/>
              <w:ind w:right="0" w:firstLine="175"/>
              <w:rPr>
                <w:color w:val="auto"/>
              </w:rPr>
            </w:pPr>
            <w:r>
              <w:rPr>
                <w:color w:val="auto"/>
              </w:rPr>
              <w:t>SIA “LDz Cargo” Lokomotīvju ekspluatācijas daļa</w:t>
            </w:r>
          </w:p>
        </w:tc>
        <w:tc>
          <w:tcPr>
            <w:tcW w:w="1891" w:type="dxa"/>
          </w:tcPr>
          <w:p w:rsidR="00D13ABD" w:rsidRDefault="00D13ABD">
            <w:pPr>
              <w:pStyle w:val="BodyText2"/>
              <w:tabs>
                <w:tab w:val="clear" w:pos="567"/>
              </w:tabs>
              <w:spacing w:line="360" w:lineRule="auto"/>
              <w:ind w:right="0" w:firstLine="175"/>
              <w:rPr>
                <w:color w:val="auto"/>
              </w:rPr>
            </w:pPr>
            <w:r>
              <w:rPr>
                <w:color w:val="auto"/>
              </w:rPr>
              <w:t>K</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RSS</w:t>
            </w:r>
          </w:p>
        </w:tc>
        <w:tc>
          <w:tcPr>
            <w:tcW w:w="5812" w:type="dxa"/>
          </w:tcPr>
          <w:p w:rsidR="00D13ABD" w:rsidRDefault="00D13ABD">
            <w:pPr>
              <w:pStyle w:val="BodyText2"/>
              <w:tabs>
                <w:tab w:val="clear" w:pos="567"/>
              </w:tabs>
              <w:spacing w:line="360" w:lineRule="auto"/>
              <w:ind w:right="0" w:firstLine="175"/>
              <w:rPr>
                <w:color w:val="auto"/>
              </w:rPr>
            </w:pPr>
            <w:r>
              <w:rPr>
                <w:color w:val="auto"/>
              </w:rPr>
              <w:t>SIA “LDz Ritošā sastāva serviss”</w:t>
            </w:r>
          </w:p>
        </w:tc>
        <w:tc>
          <w:tcPr>
            <w:tcW w:w="1891" w:type="dxa"/>
          </w:tcPr>
          <w:p w:rsidR="00D13ABD" w:rsidRDefault="00D13ABD">
            <w:pPr>
              <w:pStyle w:val="BodyText2"/>
              <w:tabs>
                <w:tab w:val="clear" w:pos="567"/>
              </w:tabs>
              <w:spacing w:line="360" w:lineRule="auto"/>
              <w:ind w:right="0" w:firstLine="175"/>
              <w:rPr>
                <w:color w:val="auto"/>
              </w:rPr>
            </w:pPr>
            <w:r>
              <w:rPr>
                <w:color w:val="auto"/>
              </w:rPr>
              <w:t>RSS</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VRCZ</w:t>
            </w:r>
          </w:p>
        </w:tc>
        <w:tc>
          <w:tcPr>
            <w:tcW w:w="5812" w:type="dxa"/>
          </w:tcPr>
          <w:p w:rsidR="00D13ABD" w:rsidRDefault="00D13ABD">
            <w:pPr>
              <w:pStyle w:val="BodyText2"/>
              <w:tabs>
                <w:tab w:val="clear" w:pos="567"/>
              </w:tabs>
              <w:spacing w:line="360" w:lineRule="auto"/>
              <w:ind w:right="0" w:firstLine="175"/>
              <w:rPr>
                <w:color w:val="auto"/>
              </w:rPr>
            </w:pPr>
            <w:r>
              <w:rPr>
                <w:color w:val="auto"/>
              </w:rPr>
              <w:t>A/S “VRC Zasulauks”</w:t>
            </w:r>
          </w:p>
        </w:tc>
        <w:tc>
          <w:tcPr>
            <w:tcW w:w="1891" w:type="dxa"/>
          </w:tcPr>
          <w:p w:rsidR="00D13ABD" w:rsidRDefault="00D13ABD">
            <w:pPr>
              <w:pStyle w:val="BodyText2"/>
              <w:tabs>
                <w:tab w:val="clear" w:pos="567"/>
              </w:tabs>
              <w:spacing w:line="360" w:lineRule="auto"/>
              <w:ind w:right="0" w:firstLine="175"/>
              <w:rPr>
                <w:color w:val="auto"/>
              </w:rPr>
            </w:pPr>
            <w:r>
              <w:rPr>
                <w:color w:val="auto"/>
              </w:rPr>
              <w:t>VRCZ</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INF</w:t>
            </w:r>
          </w:p>
        </w:tc>
        <w:tc>
          <w:tcPr>
            <w:tcW w:w="5812" w:type="dxa"/>
          </w:tcPr>
          <w:p w:rsidR="00D13ABD" w:rsidRDefault="00D13ABD">
            <w:pPr>
              <w:pStyle w:val="BodyText2"/>
              <w:tabs>
                <w:tab w:val="clear" w:pos="567"/>
              </w:tabs>
              <w:spacing w:line="360" w:lineRule="auto"/>
              <w:ind w:right="0" w:firstLine="175"/>
              <w:rPr>
                <w:color w:val="auto"/>
              </w:rPr>
            </w:pPr>
            <w:r>
              <w:rPr>
                <w:color w:val="auto"/>
              </w:rPr>
              <w:t>SIA “LDz Infrastruktūra”</w:t>
            </w:r>
          </w:p>
        </w:tc>
        <w:tc>
          <w:tcPr>
            <w:tcW w:w="1891" w:type="dxa"/>
          </w:tcPr>
          <w:p w:rsidR="00D13ABD" w:rsidRDefault="00D13ABD">
            <w:pPr>
              <w:pStyle w:val="BodyText2"/>
              <w:tabs>
                <w:tab w:val="clear" w:pos="567"/>
              </w:tabs>
              <w:spacing w:line="360" w:lineRule="auto"/>
              <w:ind w:right="0" w:firstLine="175"/>
              <w:rPr>
                <w:color w:val="auto"/>
              </w:rPr>
            </w:pPr>
            <w:r>
              <w:rPr>
                <w:color w:val="auto"/>
              </w:rPr>
              <w:t>INF</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Par</w:t>
            </w:r>
          </w:p>
        </w:tc>
        <w:tc>
          <w:tcPr>
            <w:tcW w:w="5812" w:type="dxa"/>
          </w:tcPr>
          <w:p w:rsidR="00D13ABD" w:rsidRDefault="00D13ABD">
            <w:pPr>
              <w:pStyle w:val="BodyText2"/>
              <w:tabs>
                <w:tab w:val="clear" w:pos="567"/>
              </w:tabs>
              <w:spacing w:line="360" w:lineRule="auto"/>
              <w:ind w:right="0" w:firstLine="175"/>
              <w:rPr>
                <w:color w:val="auto"/>
              </w:rPr>
            </w:pPr>
            <w:r>
              <w:rPr>
                <w:color w:val="auto"/>
              </w:rPr>
              <w:t>Pārējie</w:t>
            </w:r>
          </w:p>
        </w:tc>
        <w:tc>
          <w:tcPr>
            <w:tcW w:w="1891" w:type="dxa"/>
          </w:tcPr>
          <w:p w:rsidR="00D13ABD" w:rsidRDefault="00D13ABD">
            <w:pPr>
              <w:pStyle w:val="BodyText2"/>
              <w:tabs>
                <w:tab w:val="clear" w:pos="567"/>
              </w:tabs>
              <w:spacing w:line="360" w:lineRule="auto"/>
              <w:ind w:right="0" w:firstLine="175"/>
              <w:rPr>
                <w:color w:val="auto"/>
              </w:rPr>
            </w:pPr>
            <w:r>
              <w:rPr>
                <w:color w:val="auto"/>
              </w:rPr>
              <w:t>Par</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BTS</w:t>
            </w:r>
          </w:p>
        </w:tc>
        <w:tc>
          <w:tcPr>
            <w:tcW w:w="5812" w:type="dxa"/>
          </w:tcPr>
          <w:p w:rsidR="00D13ABD" w:rsidRDefault="00D13ABD">
            <w:pPr>
              <w:pStyle w:val="BodyText2"/>
              <w:tabs>
                <w:tab w:val="clear" w:pos="567"/>
              </w:tabs>
              <w:spacing w:line="360" w:lineRule="auto"/>
              <w:ind w:right="0" w:firstLine="175"/>
              <w:rPr>
                <w:color w:val="auto"/>
              </w:rPr>
            </w:pPr>
            <w:r>
              <w:rPr>
                <w:color w:val="auto"/>
              </w:rPr>
              <w:t>A/S “Baltijas Tranzīta Serviss”</w:t>
            </w:r>
          </w:p>
        </w:tc>
        <w:tc>
          <w:tcPr>
            <w:tcW w:w="1891" w:type="dxa"/>
          </w:tcPr>
          <w:p w:rsidR="00D13ABD" w:rsidRDefault="00D13ABD">
            <w:pPr>
              <w:pStyle w:val="BodyText2"/>
              <w:tabs>
                <w:tab w:val="clear" w:pos="567"/>
              </w:tabs>
              <w:spacing w:line="360" w:lineRule="auto"/>
              <w:ind w:right="0" w:firstLine="175"/>
              <w:rPr>
                <w:color w:val="auto"/>
              </w:rPr>
            </w:pPr>
            <w:r>
              <w:rPr>
                <w:color w:val="auto"/>
              </w:rPr>
              <w:t>BTS</w:t>
            </w:r>
          </w:p>
        </w:tc>
      </w:tr>
      <w:tr w:rsidR="00D13ABD">
        <w:tblPrEx>
          <w:tblCellMar>
            <w:top w:w="0" w:type="dxa"/>
            <w:bottom w:w="0" w:type="dxa"/>
          </w:tblCellMar>
        </w:tblPrEx>
        <w:tc>
          <w:tcPr>
            <w:tcW w:w="1526" w:type="dxa"/>
          </w:tcPr>
          <w:p w:rsidR="00D13ABD" w:rsidRDefault="00D13ABD">
            <w:pPr>
              <w:pStyle w:val="BodyText2"/>
              <w:tabs>
                <w:tab w:val="clear" w:pos="567"/>
              </w:tabs>
              <w:spacing w:line="360" w:lineRule="auto"/>
              <w:ind w:right="0" w:firstLine="142"/>
              <w:jc w:val="left"/>
              <w:rPr>
                <w:color w:val="auto"/>
              </w:rPr>
            </w:pPr>
            <w:r>
              <w:rPr>
                <w:color w:val="auto"/>
              </w:rPr>
              <w:t>BE</w:t>
            </w:r>
          </w:p>
        </w:tc>
        <w:tc>
          <w:tcPr>
            <w:tcW w:w="5812" w:type="dxa"/>
          </w:tcPr>
          <w:p w:rsidR="00D13ABD" w:rsidRDefault="00D13ABD">
            <w:pPr>
              <w:pStyle w:val="BodyText2"/>
              <w:tabs>
                <w:tab w:val="clear" w:pos="567"/>
              </w:tabs>
              <w:spacing w:line="360" w:lineRule="auto"/>
              <w:ind w:right="0" w:firstLine="175"/>
              <w:rPr>
                <w:color w:val="auto"/>
              </w:rPr>
            </w:pPr>
            <w:r>
              <w:rPr>
                <w:color w:val="auto"/>
              </w:rPr>
              <w:t>A/S “Baltijas Ekspresis”</w:t>
            </w:r>
          </w:p>
        </w:tc>
        <w:tc>
          <w:tcPr>
            <w:tcW w:w="1891" w:type="dxa"/>
          </w:tcPr>
          <w:p w:rsidR="00D13ABD" w:rsidRDefault="00D13ABD">
            <w:pPr>
              <w:pStyle w:val="BodyText2"/>
              <w:tabs>
                <w:tab w:val="clear" w:pos="567"/>
              </w:tabs>
              <w:spacing w:line="360" w:lineRule="auto"/>
              <w:ind w:right="0" w:firstLine="175"/>
              <w:rPr>
                <w:color w:val="auto"/>
              </w:rPr>
            </w:pPr>
            <w:r>
              <w:rPr>
                <w:color w:val="auto"/>
              </w:rPr>
              <w:t>BE</w:t>
            </w:r>
          </w:p>
        </w:tc>
      </w:tr>
    </w:tbl>
    <w:p w:rsidR="00D13ABD" w:rsidRDefault="00D13ABD">
      <w:pPr>
        <w:pStyle w:val="BodyText2"/>
        <w:tabs>
          <w:tab w:val="clear" w:pos="567"/>
        </w:tabs>
        <w:spacing w:line="360" w:lineRule="auto"/>
        <w:ind w:right="0" w:firstLine="709"/>
      </w:pPr>
    </w:p>
    <w:p w:rsidR="00D13ABD" w:rsidRDefault="00D13ABD">
      <w:pPr>
        <w:pStyle w:val="BodyText2"/>
        <w:tabs>
          <w:tab w:val="clear" w:pos="567"/>
        </w:tabs>
        <w:spacing w:line="360" w:lineRule="auto"/>
        <w:ind w:right="0" w:firstLine="709"/>
        <w:rPr>
          <w:color w:val="auto"/>
        </w:rPr>
      </w:pPr>
      <w:r>
        <w:rPr>
          <w:color w:val="auto"/>
        </w:rPr>
        <w:t xml:space="preserve"> DT –Tehniskās vadības direkcija</w:t>
      </w:r>
    </w:p>
    <w:sectPr w:rsidR="00D13ABD">
      <w:footerReference w:type="default" r:id="rId8"/>
      <w:pgSz w:w="11906" w:h="16838"/>
      <w:pgMar w:top="993" w:right="1133"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43" w:rsidRDefault="00E01743">
      <w:r>
        <w:separator/>
      </w:r>
    </w:p>
  </w:endnote>
  <w:endnote w:type="continuationSeparator" w:id="0">
    <w:p w:rsidR="00E01743" w:rsidRDefault="00E0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BD" w:rsidRDefault="00D13AB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3A2">
      <w:rPr>
        <w:rStyle w:val="PageNumber"/>
        <w:noProof/>
      </w:rPr>
      <w:t>1</w:t>
    </w:r>
    <w:r>
      <w:rPr>
        <w:rStyle w:val="PageNumber"/>
      </w:rPr>
      <w:fldChar w:fldCharType="end"/>
    </w:r>
  </w:p>
  <w:p w:rsidR="00D13ABD" w:rsidRDefault="00D13ABD">
    <w:pPr>
      <w:pStyle w:val="Footer"/>
      <w:ind w:right="360"/>
      <w:jc w:val="center"/>
    </w:pPr>
  </w:p>
  <w:p w:rsidR="00D13ABD" w:rsidRDefault="00D13A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43" w:rsidRDefault="00E01743">
      <w:r>
        <w:separator/>
      </w:r>
    </w:p>
  </w:footnote>
  <w:footnote w:type="continuationSeparator" w:id="0">
    <w:p w:rsidR="00E01743" w:rsidRDefault="00E01743">
      <w:r>
        <w:continuationSeparator/>
      </w:r>
    </w:p>
  </w:footnote>
  <w:footnote w:id="1">
    <w:p w:rsidR="0009540B" w:rsidRDefault="0009540B" w:rsidP="0009540B">
      <w:pPr>
        <w:rPr>
          <w:b/>
          <w:bCs/>
          <w:i/>
          <w:sz w:val="22"/>
          <w:lang w:val="lv-LV"/>
        </w:rPr>
      </w:pPr>
      <w:r>
        <w:rPr>
          <w:rStyle w:val="FootnoteReference"/>
          <w:i/>
        </w:rPr>
        <w:sym w:font="Symbol" w:char="F02A"/>
      </w:r>
      <w:r>
        <w:rPr>
          <w:i/>
        </w:rPr>
        <w:t xml:space="preserve"> </w:t>
      </w:r>
      <w:r>
        <w:rPr>
          <w:b/>
          <w:bCs/>
          <w:i/>
          <w:sz w:val="22"/>
          <w:lang w:val="lv-LV"/>
        </w:rPr>
        <w:t xml:space="preserve">nozīmēšanas stacija </w:t>
      </w:r>
      <w:r>
        <w:rPr>
          <w:bCs/>
          <w:i/>
          <w:sz w:val="22"/>
          <w:lang w:val="lv-LV"/>
        </w:rPr>
        <w:t>(nozīmējums):</w:t>
      </w:r>
      <w:r>
        <w:rPr>
          <w:b/>
          <w:bCs/>
          <w:i/>
          <w:sz w:val="22"/>
          <w:lang w:val="lv-LV"/>
        </w:rPr>
        <w:t xml:space="preserve"> </w:t>
      </w:r>
    </w:p>
    <w:p w:rsidR="0009540B" w:rsidRDefault="0009540B" w:rsidP="0009540B">
      <w:pPr>
        <w:jc w:val="both"/>
        <w:rPr>
          <w:i/>
          <w:sz w:val="22"/>
          <w:lang w:val="lv-LV"/>
        </w:rPr>
      </w:pPr>
      <w:r>
        <w:rPr>
          <w:i/>
          <w:sz w:val="22"/>
          <w:lang w:val="lv-LV"/>
        </w:rPr>
        <w:t>- stacija, kurā vagonam paredzēta komerciāla operācija (pārvadājuma līguma noslēgšana, grozīšana un izbeigšana);</w:t>
      </w:r>
    </w:p>
    <w:p w:rsidR="00000000" w:rsidRDefault="0009540B" w:rsidP="0009540B">
      <w:pPr>
        <w:pStyle w:val="FootnoteText"/>
        <w:tabs>
          <w:tab w:val="left" w:pos="0"/>
        </w:tabs>
        <w:jc w:val="both"/>
      </w:pPr>
      <w:r>
        <w:rPr>
          <w:i/>
          <w:sz w:val="22"/>
          <w:lang w:val="lv-LV"/>
        </w:rPr>
        <w:t>- stacijā, kurā kravas vilcienu formēšanas plānā paredzēts vagonus izslēgt no izformējamā vilciena sastāva un iekļaut no jauna saformēta vilciena sastāvā.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3D6"/>
    <w:multiLevelType w:val="hybridMultilevel"/>
    <w:tmpl w:val="C8643E58"/>
    <w:lvl w:ilvl="0" w:tplc="30B62AB6">
      <w:start w:val="3"/>
      <w:numFmt w:val="bullet"/>
      <w:lvlText w:val="-"/>
      <w:lvlJc w:val="left"/>
      <w:pPr>
        <w:tabs>
          <w:tab w:val="num" w:pos="885"/>
        </w:tabs>
        <w:ind w:left="885" w:hanging="525"/>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57E94"/>
    <w:multiLevelType w:val="hybridMultilevel"/>
    <w:tmpl w:val="B2BEA6EA"/>
    <w:lvl w:ilvl="0" w:tplc="039CDC94">
      <w:numFmt w:val="bullet"/>
      <w:lvlText w:val="-"/>
      <w:lvlJc w:val="left"/>
      <w:pPr>
        <w:tabs>
          <w:tab w:val="num" w:pos="2880"/>
        </w:tabs>
        <w:ind w:left="288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0DB51C2"/>
    <w:multiLevelType w:val="hybridMultilevel"/>
    <w:tmpl w:val="FADEE058"/>
    <w:lvl w:ilvl="0" w:tplc="039CDC94">
      <w:numFmt w:val="bullet"/>
      <w:lvlText w:val="-"/>
      <w:lvlJc w:val="left"/>
      <w:pPr>
        <w:tabs>
          <w:tab w:val="num" w:pos="1080"/>
        </w:tabs>
        <w:ind w:left="1080" w:hanging="360"/>
      </w:pPr>
      <w:rPr>
        <w:rFonts w:ascii="Times New Roman" w:eastAsia="Times New Roman" w:hAnsi="Times New Roman" w:hint="default"/>
      </w:rPr>
    </w:lvl>
    <w:lvl w:ilvl="1" w:tplc="6512F852">
      <w:start w:val="2"/>
      <w:numFmt w:val="bullet"/>
      <w:lvlText w:val=""/>
      <w:lvlJc w:val="left"/>
      <w:pPr>
        <w:tabs>
          <w:tab w:val="num" w:pos="1440"/>
        </w:tabs>
        <w:ind w:left="1440" w:hanging="360"/>
      </w:pPr>
      <w:rPr>
        <w:rFonts w:ascii="Symbol" w:eastAsia="Times New Roman" w:hAnsi="Symbol" w:hint="default"/>
      </w:rPr>
    </w:lvl>
    <w:lvl w:ilvl="2" w:tplc="45484AA2">
      <w:start w:val="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A60F3F"/>
    <w:multiLevelType w:val="multilevel"/>
    <w:tmpl w:val="679C51B4"/>
    <w:lvl w:ilvl="0">
      <w:start w:val="1"/>
      <w:numFmt w:val="decimal"/>
      <w:lvlText w:val="%1."/>
      <w:lvlJc w:val="left"/>
      <w:pPr>
        <w:tabs>
          <w:tab w:val="num" w:pos="2400"/>
        </w:tabs>
        <w:ind w:left="2400" w:hanging="360"/>
      </w:pPr>
      <w:rPr>
        <w:rFonts w:cs="Times New Roman" w:hint="default"/>
      </w:rPr>
    </w:lvl>
    <w:lvl w:ilvl="1">
      <w:start w:val="1"/>
      <w:numFmt w:val="decimal"/>
      <w:isLgl/>
      <w:lvlText w:val="%1.%2."/>
      <w:lvlJc w:val="left"/>
      <w:pPr>
        <w:tabs>
          <w:tab w:val="num" w:pos="2760"/>
        </w:tabs>
        <w:ind w:left="2760" w:hanging="720"/>
      </w:pPr>
      <w:rPr>
        <w:rFonts w:cs="Times New Roman" w:hint="default"/>
        <w:b/>
        <w:bCs/>
      </w:rPr>
    </w:lvl>
    <w:lvl w:ilvl="2">
      <w:start w:val="1"/>
      <w:numFmt w:val="decimal"/>
      <w:isLgl/>
      <w:lvlText w:val="%1.%2.%3."/>
      <w:lvlJc w:val="left"/>
      <w:pPr>
        <w:tabs>
          <w:tab w:val="num" w:pos="2760"/>
        </w:tabs>
        <w:ind w:left="2760" w:hanging="720"/>
      </w:pPr>
      <w:rPr>
        <w:rFonts w:cs="Times New Roman" w:hint="default"/>
        <w:b/>
        <w:bCs/>
      </w:rPr>
    </w:lvl>
    <w:lvl w:ilvl="3">
      <w:start w:val="1"/>
      <w:numFmt w:val="decimal"/>
      <w:isLgl/>
      <w:lvlText w:val="%1.%2.%3.%4."/>
      <w:lvlJc w:val="left"/>
      <w:pPr>
        <w:tabs>
          <w:tab w:val="num" w:pos="3120"/>
        </w:tabs>
        <w:ind w:left="3120" w:hanging="1080"/>
      </w:pPr>
      <w:rPr>
        <w:rFonts w:cs="Times New Roman" w:hint="default"/>
        <w:b/>
        <w:bCs/>
      </w:rPr>
    </w:lvl>
    <w:lvl w:ilvl="4">
      <w:start w:val="1"/>
      <w:numFmt w:val="decimal"/>
      <w:isLgl/>
      <w:lvlText w:val="%1.%2.%3.%4.%5."/>
      <w:lvlJc w:val="left"/>
      <w:pPr>
        <w:tabs>
          <w:tab w:val="num" w:pos="3120"/>
        </w:tabs>
        <w:ind w:left="3120" w:hanging="1080"/>
      </w:pPr>
      <w:rPr>
        <w:rFonts w:cs="Times New Roman" w:hint="default"/>
        <w:b/>
        <w:bCs/>
      </w:rPr>
    </w:lvl>
    <w:lvl w:ilvl="5">
      <w:start w:val="1"/>
      <w:numFmt w:val="decimal"/>
      <w:isLgl/>
      <w:lvlText w:val="%1.%2.%3.%4.%5.%6."/>
      <w:lvlJc w:val="left"/>
      <w:pPr>
        <w:tabs>
          <w:tab w:val="num" w:pos="3480"/>
        </w:tabs>
        <w:ind w:left="3480" w:hanging="1440"/>
      </w:pPr>
      <w:rPr>
        <w:rFonts w:cs="Times New Roman" w:hint="default"/>
        <w:b/>
        <w:bCs/>
      </w:rPr>
    </w:lvl>
    <w:lvl w:ilvl="6">
      <w:start w:val="1"/>
      <w:numFmt w:val="decimal"/>
      <w:isLgl/>
      <w:lvlText w:val="%1.%2.%3.%4.%5.%6.%7."/>
      <w:lvlJc w:val="left"/>
      <w:pPr>
        <w:tabs>
          <w:tab w:val="num" w:pos="3480"/>
        </w:tabs>
        <w:ind w:left="3480" w:hanging="1440"/>
      </w:pPr>
      <w:rPr>
        <w:rFonts w:cs="Times New Roman" w:hint="default"/>
        <w:b/>
        <w:bCs/>
      </w:rPr>
    </w:lvl>
    <w:lvl w:ilvl="7">
      <w:start w:val="1"/>
      <w:numFmt w:val="decimal"/>
      <w:isLgl/>
      <w:lvlText w:val="%1.%2.%3.%4.%5.%6.%7.%8."/>
      <w:lvlJc w:val="left"/>
      <w:pPr>
        <w:tabs>
          <w:tab w:val="num" w:pos="3840"/>
        </w:tabs>
        <w:ind w:left="3840" w:hanging="1800"/>
      </w:pPr>
      <w:rPr>
        <w:rFonts w:cs="Times New Roman" w:hint="default"/>
        <w:b/>
        <w:bCs/>
      </w:rPr>
    </w:lvl>
    <w:lvl w:ilvl="8">
      <w:start w:val="1"/>
      <w:numFmt w:val="decimal"/>
      <w:isLgl/>
      <w:lvlText w:val="%1.%2.%3.%4.%5.%6.%7.%8.%9."/>
      <w:lvlJc w:val="left"/>
      <w:pPr>
        <w:tabs>
          <w:tab w:val="num" w:pos="4200"/>
        </w:tabs>
        <w:ind w:left="4200" w:hanging="2160"/>
      </w:pPr>
      <w:rPr>
        <w:rFonts w:cs="Times New Roman" w:hint="default"/>
        <w:b/>
        <w:bCs/>
      </w:rPr>
    </w:lvl>
  </w:abstractNum>
  <w:abstractNum w:abstractNumId="4">
    <w:nsid w:val="69C16AA5"/>
    <w:multiLevelType w:val="singleLevel"/>
    <w:tmpl w:val="36E2C478"/>
    <w:lvl w:ilvl="0">
      <w:numFmt w:val="bullet"/>
      <w:lvlText w:val="-"/>
      <w:lvlJc w:val="left"/>
      <w:pPr>
        <w:tabs>
          <w:tab w:val="num" w:pos="1129"/>
        </w:tabs>
        <w:ind w:left="1129" w:hanging="360"/>
      </w:pPr>
      <w:rPr>
        <w:rFonts w:ascii="Times New Roman" w:hAnsi="Times New Roman" w:hint="default"/>
      </w:rPr>
    </w:lvl>
  </w:abstractNum>
  <w:num w:numId="1">
    <w:abstractNumId w:val="3"/>
  </w:num>
  <w:num w:numId="2">
    <w:abstractNumId w:val="4"/>
  </w:num>
  <w:num w:numId="3">
    <w:abstractNumId w:val="0"/>
  </w:num>
  <w:num w:numId="4">
    <w:abstractNumId w:val="4"/>
    <w:lvlOverride w:ilv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D"/>
    <w:rsid w:val="0009540B"/>
    <w:rsid w:val="00302E51"/>
    <w:rsid w:val="00433CC0"/>
    <w:rsid w:val="004D79E4"/>
    <w:rsid w:val="0059638D"/>
    <w:rsid w:val="009913A2"/>
    <w:rsid w:val="009F63D5"/>
    <w:rsid w:val="00D13ABD"/>
    <w:rsid w:val="00E01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pPr>
      <w:keepNext/>
      <w:widowControl w:val="0"/>
      <w:spacing w:before="100" w:line="320" w:lineRule="auto"/>
      <w:ind w:right="400"/>
      <w:jc w:val="center"/>
      <w:outlineLvl w:val="0"/>
    </w:pPr>
    <w:rPr>
      <w:rFonts w:ascii="Arial" w:hAnsi="Arial" w:cs="Arial"/>
      <w:b/>
      <w:bCs/>
      <w:i/>
      <w:iCs/>
      <w:lang w:val="lv-LV"/>
    </w:rPr>
  </w:style>
  <w:style w:type="paragraph" w:styleId="Heading2">
    <w:name w:val="heading 2"/>
    <w:basedOn w:val="Normal"/>
    <w:next w:val="Normal"/>
    <w:link w:val="Heading2Char"/>
    <w:uiPriority w:val="99"/>
    <w:qFormat/>
    <w:pPr>
      <w:keepNext/>
      <w:ind w:right="42"/>
      <w:outlineLvl w:val="1"/>
    </w:pPr>
    <w:rPr>
      <w:rFonts w:ascii="Arial" w:hAnsi="Arial" w:cs="Arial"/>
      <w:b/>
      <w:bCs/>
      <w:sz w:val="24"/>
      <w:szCs w:val="24"/>
      <w:lang w:val="lv-LV"/>
    </w:rPr>
  </w:style>
  <w:style w:type="paragraph" w:styleId="Heading3">
    <w:name w:val="heading 3"/>
    <w:basedOn w:val="Normal"/>
    <w:next w:val="Normal"/>
    <w:link w:val="Heading3Char"/>
    <w:uiPriority w:val="99"/>
    <w:qFormat/>
    <w:pPr>
      <w:keepNext/>
      <w:ind w:right="42" w:firstLine="709"/>
      <w:jc w:val="both"/>
      <w:outlineLvl w:val="2"/>
    </w:pPr>
    <w:rPr>
      <w:rFonts w:ascii="Arial" w:hAnsi="Arial" w:cs="Arial"/>
      <w:sz w:val="24"/>
      <w:szCs w:val="24"/>
      <w:lang w:val="lv-LV"/>
    </w:rPr>
  </w:style>
  <w:style w:type="paragraph" w:styleId="Heading4">
    <w:name w:val="heading 4"/>
    <w:basedOn w:val="Normal"/>
    <w:next w:val="Normal"/>
    <w:link w:val="Heading4Char"/>
    <w:uiPriority w:val="99"/>
    <w:qFormat/>
    <w:pPr>
      <w:keepNext/>
      <w:outlineLvl w:val="3"/>
    </w:pPr>
    <w:rPr>
      <w:rFonts w:ascii="Arial" w:hAnsi="Arial" w:cs="Arial"/>
      <w:sz w:val="24"/>
      <w:szCs w:val="24"/>
      <w:lang w:val="lv-LV"/>
    </w:rPr>
  </w:style>
  <w:style w:type="paragraph" w:styleId="Heading5">
    <w:name w:val="heading 5"/>
    <w:basedOn w:val="Normal"/>
    <w:next w:val="Normal"/>
    <w:link w:val="Heading5Char"/>
    <w:uiPriority w:val="99"/>
    <w:qFormat/>
    <w:pPr>
      <w:keepNext/>
      <w:ind w:right="42" w:firstLine="720"/>
      <w:jc w:val="center"/>
      <w:outlineLvl w:val="4"/>
    </w:pPr>
    <w:rPr>
      <w:rFonts w:ascii="Arial" w:hAnsi="Arial" w:cs="Arial"/>
      <w:color w:val="000000"/>
      <w:sz w:val="24"/>
      <w:szCs w:val="24"/>
      <w:lang w:val="lv-LV"/>
    </w:rPr>
  </w:style>
  <w:style w:type="paragraph" w:styleId="Heading6">
    <w:name w:val="heading 6"/>
    <w:basedOn w:val="Normal"/>
    <w:next w:val="Normal"/>
    <w:link w:val="Heading6Char"/>
    <w:uiPriority w:val="99"/>
    <w:qFormat/>
    <w:pPr>
      <w:keepNext/>
      <w:ind w:right="42" w:firstLine="720"/>
      <w:jc w:val="both"/>
      <w:outlineLvl w:val="5"/>
    </w:pPr>
    <w:rPr>
      <w:lang w:val="lv-LV"/>
    </w:rPr>
  </w:style>
  <w:style w:type="paragraph" w:styleId="Heading7">
    <w:name w:val="heading 7"/>
    <w:basedOn w:val="Normal"/>
    <w:next w:val="Normal"/>
    <w:link w:val="Heading7Char"/>
    <w:uiPriority w:val="99"/>
    <w:qFormat/>
    <w:pPr>
      <w:keepNext/>
      <w:ind w:right="42"/>
      <w:jc w:val="center"/>
      <w:outlineLvl w:val="6"/>
    </w:pPr>
    <w:rPr>
      <w:rFonts w:ascii="Arial" w:hAnsi="Arial" w:cs="Arial"/>
      <w:sz w:val="24"/>
      <w:szCs w:val="24"/>
      <w:lang w:val="lv-LV"/>
    </w:rPr>
  </w:style>
  <w:style w:type="paragraph" w:styleId="Heading8">
    <w:name w:val="heading 8"/>
    <w:basedOn w:val="Normal"/>
    <w:next w:val="Normal"/>
    <w:link w:val="Heading8Char"/>
    <w:uiPriority w:val="99"/>
    <w:qFormat/>
    <w:pPr>
      <w:keepNext/>
      <w:jc w:val="center"/>
      <w:outlineLvl w:val="7"/>
    </w:pPr>
    <w:rPr>
      <w:rFonts w:ascii="Arial" w:hAnsi="Arial" w:cs="Arial"/>
      <w:sz w:val="24"/>
      <w:szCs w:val="24"/>
    </w:rPr>
  </w:style>
  <w:style w:type="paragraph" w:styleId="Heading9">
    <w:name w:val="heading 9"/>
    <w:basedOn w:val="Normal"/>
    <w:next w:val="Normal"/>
    <w:link w:val="Heading9Char"/>
    <w:uiPriority w:val="99"/>
    <w:qFormat/>
    <w:pPr>
      <w:keepNext/>
      <w:ind w:right="42" w:firstLine="709"/>
      <w:outlineLvl w:val="8"/>
    </w:pPr>
    <w:rPr>
      <w:rFonts w:ascii="Arial" w:hAnsi="Arial" w:cs="Arial"/>
      <w:b/>
      <w:bCs/>
      <w:sz w:val="24"/>
      <w:szCs w:val="24"/>
      <w:lang w:val="lv-LV"/>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customStyle="1" w:styleId="FR1">
    <w:name w:val="FR1"/>
    <w:uiPriority w:val="99"/>
    <w:pPr>
      <w:widowControl w:val="0"/>
      <w:spacing w:after="0" w:line="400" w:lineRule="auto"/>
      <w:ind w:left="200" w:right="600"/>
      <w:jc w:val="center"/>
    </w:pPr>
    <w:rPr>
      <w:rFonts w:ascii="Arial" w:hAnsi="Arial" w:cs="Arial"/>
      <w:lang w:eastAsia="en-US"/>
    </w:rPr>
  </w:style>
  <w:style w:type="paragraph" w:customStyle="1" w:styleId="FR2">
    <w:name w:val="FR2"/>
    <w:uiPriority w:val="99"/>
    <w:pPr>
      <w:widowControl w:val="0"/>
      <w:spacing w:after="0" w:line="260" w:lineRule="auto"/>
      <w:ind w:left="2200" w:right="2600"/>
      <w:jc w:val="center"/>
    </w:pPr>
    <w:rPr>
      <w:sz w:val="18"/>
      <w:szCs w:val="18"/>
      <w:lang w:eastAsia="en-US"/>
    </w:rPr>
  </w:style>
  <w:style w:type="paragraph" w:styleId="BodyTextIndent2">
    <w:name w:val="Body Text Indent 2"/>
    <w:basedOn w:val="Normal"/>
    <w:link w:val="BodyTextIndent2Char"/>
    <w:uiPriority w:val="99"/>
    <w:pPr>
      <w:widowControl w:val="0"/>
      <w:spacing w:line="220" w:lineRule="auto"/>
      <w:ind w:right="400" w:firstLine="320"/>
      <w:jc w:val="both"/>
    </w:pPr>
    <w:rPr>
      <w:rFonts w:ascii="Arial" w:hAnsi="Arial" w:cs="Arial"/>
      <w:sz w:val="23"/>
      <w:szCs w:val="23"/>
      <w:lang w:val="lv-LV"/>
    </w:rPr>
  </w:style>
  <w:style w:type="character" w:customStyle="1" w:styleId="BodyTextIndent2Char">
    <w:name w:val="Body Text Indent 2 Char"/>
    <w:basedOn w:val="DefaultParagraphFont"/>
    <w:link w:val="BodyTextIndent2"/>
    <w:uiPriority w:val="99"/>
    <w:semiHidden/>
    <w:rPr>
      <w:sz w:val="20"/>
      <w:szCs w:val="20"/>
      <w:lang w:val="en-US" w:eastAsia="en-US"/>
    </w:rPr>
  </w:style>
  <w:style w:type="paragraph" w:styleId="BodyText2">
    <w:name w:val="Body Text 2"/>
    <w:basedOn w:val="Normal"/>
    <w:link w:val="BodyText2Char"/>
    <w:uiPriority w:val="99"/>
    <w:pPr>
      <w:tabs>
        <w:tab w:val="left" w:pos="567"/>
      </w:tabs>
      <w:ind w:right="42"/>
      <w:jc w:val="both"/>
    </w:pPr>
    <w:rPr>
      <w:rFonts w:ascii="Arial" w:hAnsi="Arial" w:cs="Arial"/>
      <w:color w:val="000000"/>
      <w:sz w:val="24"/>
      <w:szCs w:val="24"/>
      <w:lang w:val="lv-LV"/>
    </w:rPr>
  </w:style>
  <w:style w:type="character" w:customStyle="1" w:styleId="BodyText2Char">
    <w:name w:val="Body Text 2 Char"/>
    <w:basedOn w:val="DefaultParagraphFont"/>
    <w:link w:val="BodyText2"/>
    <w:uiPriority w:val="99"/>
    <w:semiHidden/>
    <w:rPr>
      <w:sz w:val="20"/>
      <w:szCs w:val="20"/>
      <w:lang w:val="en-US" w:eastAsia="en-US"/>
    </w:rPr>
  </w:style>
  <w:style w:type="paragraph" w:styleId="BodyTextIndent3">
    <w:name w:val="Body Text Indent 3"/>
    <w:basedOn w:val="Normal"/>
    <w:link w:val="BodyTextIndent3Char"/>
    <w:uiPriority w:val="99"/>
    <w:pPr>
      <w:widowControl w:val="0"/>
      <w:ind w:firstLine="320"/>
    </w:pPr>
    <w:rPr>
      <w:rFonts w:ascii="Arial" w:hAnsi="Arial" w:cs="Arial"/>
      <w:b/>
      <w:bCs/>
      <w:sz w:val="23"/>
      <w:szCs w:val="23"/>
      <w:lang w:val="lv-LV"/>
    </w:rPr>
  </w:style>
  <w:style w:type="character" w:customStyle="1" w:styleId="BodyTextIndent3Char">
    <w:name w:val="Body Text Indent 3 Char"/>
    <w:basedOn w:val="DefaultParagraphFont"/>
    <w:link w:val="BodyTextIndent3"/>
    <w:uiPriority w:val="99"/>
    <w:semiHidden/>
    <w:rPr>
      <w:sz w:val="16"/>
      <w:szCs w:val="16"/>
      <w:lang w:val="en-US" w:eastAsia="en-US"/>
    </w:rPr>
  </w:style>
  <w:style w:type="paragraph" w:styleId="BodyText3">
    <w:name w:val="Body Text 3"/>
    <w:basedOn w:val="Normal"/>
    <w:link w:val="BodyText3Char"/>
    <w:uiPriority w:val="99"/>
    <w:pPr>
      <w:widowControl w:val="0"/>
      <w:spacing w:line="320" w:lineRule="auto"/>
      <w:ind w:right="400"/>
      <w:jc w:val="both"/>
    </w:pPr>
    <w:rPr>
      <w:rFonts w:ascii="Arial" w:hAnsi="Arial" w:cs="Arial"/>
      <w:b/>
      <w:bCs/>
      <w:i/>
      <w:iCs/>
      <w:sz w:val="28"/>
      <w:szCs w:val="28"/>
      <w:lang w:val="lv-LV"/>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BodyText">
    <w:name w:val="Body Text"/>
    <w:basedOn w:val="Normal"/>
    <w:link w:val="BodyTextChar"/>
    <w:uiPriority w:val="99"/>
    <w:pPr>
      <w:spacing w:line="360" w:lineRule="auto"/>
      <w:jc w:val="both"/>
    </w:pPr>
    <w:rPr>
      <w:rFonts w:ascii="Arial" w:hAnsi="Arial" w:cs="Arial"/>
      <w:b/>
      <w:bCs/>
      <w:i/>
      <w:iCs/>
      <w:sz w:val="24"/>
      <w:szCs w:val="24"/>
      <w:u w:val="single"/>
    </w:rPr>
  </w:style>
  <w:style w:type="character" w:customStyle="1" w:styleId="BodyTextChar">
    <w:name w:val="Body Text Char"/>
    <w:basedOn w:val="DefaultParagraphFont"/>
    <w:link w:val="BodyText"/>
    <w:uiPriority w:val="99"/>
    <w:semiHidden/>
    <w:rPr>
      <w:sz w:val="20"/>
      <w:szCs w:val="20"/>
      <w:lang w:val="en-US" w:eastAsia="en-US"/>
    </w:rPr>
  </w:style>
  <w:style w:type="paragraph" w:styleId="BlockText">
    <w:name w:val="Block Text"/>
    <w:basedOn w:val="Normal"/>
    <w:uiPriority w:val="99"/>
    <w:pPr>
      <w:ind w:left="1134" w:right="42"/>
      <w:jc w:val="both"/>
    </w:pPr>
    <w:rPr>
      <w:rFonts w:ascii="Arial" w:hAnsi="Arial" w:cs="Arial"/>
      <w:sz w:val="24"/>
      <w:szCs w:val="24"/>
      <w:lang w:val="lv-LV"/>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sid w:val="0009540B"/>
    <w:rPr>
      <w:lang w:val="en-GB"/>
    </w:rPr>
  </w:style>
  <w:style w:type="character" w:customStyle="1" w:styleId="FootnoteTextChar">
    <w:name w:val="Footnote Text Char"/>
    <w:basedOn w:val="DefaultParagraphFont"/>
    <w:link w:val="FootnoteText"/>
    <w:uiPriority w:val="99"/>
    <w:semiHidden/>
    <w:rPr>
      <w:sz w:val="20"/>
      <w:szCs w:val="20"/>
      <w:lang w:val="en-US" w:eastAsia="en-US"/>
    </w:rPr>
  </w:style>
  <w:style w:type="character" w:styleId="FootnoteReference">
    <w:name w:val="footnote reference"/>
    <w:basedOn w:val="DefaultParagraphFont"/>
    <w:uiPriority w:val="99"/>
    <w:semiHidden/>
    <w:rsid w:val="0009540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en-US" w:eastAsia="en-US"/>
    </w:rPr>
  </w:style>
  <w:style w:type="paragraph" w:styleId="Heading1">
    <w:name w:val="heading 1"/>
    <w:basedOn w:val="Normal"/>
    <w:next w:val="Normal"/>
    <w:link w:val="Heading1Char"/>
    <w:uiPriority w:val="99"/>
    <w:qFormat/>
    <w:pPr>
      <w:keepNext/>
      <w:widowControl w:val="0"/>
      <w:spacing w:before="100" w:line="320" w:lineRule="auto"/>
      <w:ind w:right="400"/>
      <w:jc w:val="center"/>
      <w:outlineLvl w:val="0"/>
    </w:pPr>
    <w:rPr>
      <w:rFonts w:ascii="Arial" w:hAnsi="Arial" w:cs="Arial"/>
      <w:b/>
      <w:bCs/>
      <w:i/>
      <w:iCs/>
      <w:lang w:val="lv-LV"/>
    </w:rPr>
  </w:style>
  <w:style w:type="paragraph" w:styleId="Heading2">
    <w:name w:val="heading 2"/>
    <w:basedOn w:val="Normal"/>
    <w:next w:val="Normal"/>
    <w:link w:val="Heading2Char"/>
    <w:uiPriority w:val="99"/>
    <w:qFormat/>
    <w:pPr>
      <w:keepNext/>
      <w:ind w:right="42"/>
      <w:outlineLvl w:val="1"/>
    </w:pPr>
    <w:rPr>
      <w:rFonts w:ascii="Arial" w:hAnsi="Arial" w:cs="Arial"/>
      <w:b/>
      <w:bCs/>
      <w:sz w:val="24"/>
      <w:szCs w:val="24"/>
      <w:lang w:val="lv-LV"/>
    </w:rPr>
  </w:style>
  <w:style w:type="paragraph" w:styleId="Heading3">
    <w:name w:val="heading 3"/>
    <w:basedOn w:val="Normal"/>
    <w:next w:val="Normal"/>
    <w:link w:val="Heading3Char"/>
    <w:uiPriority w:val="99"/>
    <w:qFormat/>
    <w:pPr>
      <w:keepNext/>
      <w:ind w:right="42" w:firstLine="709"/>
      <w:jc w:val="both"/>
      <w:outlineLvl w:val="2"/>
    </w:pPr>
    <w:rPr>
      <w:rFonts w:ascii="Arial" w:hAnsi="Arial" w:cs="Arial"/>
      <w:sz w:val="24"/>
      <w:szCs w:val="24"/>
      <w:lang w:val="lv-LV"/>
    </w:rPr>
  </w:style>
  <w:style w:type="paragraph" w:styleId="Heading4">
    <w:name w:val="heading 4"/>
    <w:basedOn w:val="Normal"/>
    <w:next w:val="Normal"/>
    <w:link w:val="Heading4Char"/>
    <w:uiPriority w:val="99"/>
    <w:qFormat/>
    <w:pPr>
      <w:keepNext/>
      <w:outlineLvl w:val="3"/>
    </w:pPr>
    <w:rPr>
      <w:rFonts w:ascii="Arial" w:hAnsi="Arial" w:cs="Arial"/>
      <w:sz w:val="24"/>
      <w:szCs w:val="24"/>
      <w:lang w:val="lv-LV"/>
    </w:rPr>
  </w:style>
  <w:style w:type="paragraph" w:styleId="Heading5">
    <w:name w:val="heading 5"/>
    <w:basedOn w:val="Normal"/>
    <w:next w:val="Normal"/>
    <w:link w:val="Heading5Char"/>
    <w:uiPriority w:val="99"/>
    <w:qFormat/>
    <w:pPr>
      <w:keepNext/>
      <w:ind w:right="42" w:firstLine="720"/>
      <w:jc w:val="center"/>
      <w:outlineLvl w:val="4"/>
    </w:pPr>
    <w:rPr>
      <w:rFonts w:ascii="Arial" w:hAnsi="Arial" w:cs="Arial"/>
      <w:color w:val="000000"/>
      <w:sz w:val="24"/>
      <w:szCs w:val="24"/>
      <w:lang w:val="lv-LV"/>
    </w:rPr>
  </w:style>
  <w:style w:type="paragraph" w:styleId="Heading6">
    <w:name w:val="heading 6"/>
    <w:basedOn w:val="Normal"/>
    <w:next w:val="Normal"/>
    <w:link w:val="Heading6Char"/>
    <w:uiPriority w:val="99"/>
    <w:qFormat/>
    <w:pPr>
      <w:keepNext/>
      <w:ind w:right="42" w:firstLine="720"/>
      <w:jc w:val="both"/>
      <w:outlineLvl w:val="5"/>
    </w:pPr>
    <w:rPr>
      <w:lang w:val="lv-LV"/>
    </w:rPr>
  </w:style>
  <w:style w:type="paragraph" w:styleId="Heading7">
    <w:name w:val="heading 7"/>
    <w:basedOn w:val="Normal"/>
    <w:next w:val="Normal"/>
    <w:link w:val="Heading7Char"/>
    <w:uiPriority w:val="99"/>
    <w:qFormat/>
    <w:pPr>
      <w:keepNext/>
      <w:ind w:right="42"/>
      <w:jc w:val="center"/>
      <w:outlineLvl w:val="6"/>
    </w:pPr>
    <w:rPr>
      <w:rFonts w:ascii="Arial" w:hAnsi="Arial" w:cs="Arial"/>
      <w:sz w:val="24"/>
      <w:szCs w:val="24"/>
      <w:lang w:val="lv-LV"/>
    </w:rPr>
  </w:style>
  <w:style w:type="paragraph" w:styleId="Heading8">
    <w:name w:val="heading 8"/>
    <w:basedOn w:val="Normal"/>
    <w:next w:val="Normal"/>
    <w:link w:val="Heading8Char"/>
    <w:uiPriority w:val="99"/>
    <w:qFormat/>
    <w:pPr>
      <w:keepNext/>
      <w:jc w:val="center"/>
      <w:outlineLvl w:val="7"/>
    </w:pPr>
    <w:rPr>
      <w:rFonts w:ascii="Arial" w:hAnsi="Arial" w:cs="Arial"/>
      <w:sz w:val="24"/>
      <w:szCs w:val="24"/>
    </w:rPr>
  </w:style>
  <w:style w:type="paragraph" w:styleId="Heading9">
    <w:name w:val="heading 9"/>
    <w:basedOn w:val="Normal"/>
    <w:next w:val="Normal"/>
    <w:link w:val="Heading9Char"/>
    <w:uiPriority w:val="99"/>
    <w:qFormat/>
    <w:pPr>
      <w:keepNext/>
      <w:ind w:right="42" w:firstLine="709"/>
      <w:outlineLvl w:val="8"/>
    </w:pPr>
    <w:rPr>
      <w:rFonts w:ascii="Arial" w:hAnsi="Arial" w:cs="Arial"/>
      <w:b/>
      <w:bCs/>
      <w:sz w:val="24"/>
      <w:szCs w:val="24"/>
      <w:lang w:val="lv-LV"/>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customStyle="1" w:styleId="FR1">
    <w:name w:val="FR1"/>
    <w:uiPriority w:val="99"/>
    <w:pPr>
      <w:widowControl w:val="0"/>
      <w:spacing w:after="0" w:line="400" w:lineRule="auto"/>
      <w:ind w:left="200" w:right="600"/>
      <w:jc w:val="center"/>
    </w:pPr>
    <w:rPr>
      <w:rFonts w:ascii="Arial" w:hAnsi="Arial" w:cs="Arial"/>
      <w:lang w:eastAsia="en-US"/>
    </w:rPr>
  </w:style>
  <w:style w:type="paragraph" w:customStyle="1" w:styleId="FR2">
    <w:name w:val="FR2"/>
    <w:uiPriority w:val="99"/>
    <w:pPr>
      <w:widowControl w:val="0"/>
      <w:spacing w:after="0" w:line="260" w:lineRule="auto"/>
      <w:ind w:left="2200" w:right="2600"/>
      <w:jc w:val="center"/>
    </w:pPr>
    <w:rPr>
      <w:sz w:val="18"/>
      <w:szCs w:val="18"/>
      <w:lang w:eastAsia="en-US"/>
    </w:rPr>
  </w:style>
  <w:style w:type="paragraph" w:styleId="BodyTextIndent2">
    <w:name w:val="Body Text Indent 2"/>
    <w:basedOn w:val="Normal"/>
    <w:link w:val="BodyTextIndent2Char"/>
    <w:uiPriority w:val="99"/>
    <w:pPr>
      <w:widowControl w:val="0"/>
      <w:spacing w:line="220" w:lineRule="auto"/>
      <w:ind w:right="400" w:firstLine="320"/>
      <w:jc w:val="both"/>
    </w:pPr>
    <w:rPr>
      <w:rFonts w:ascii="Arial" w:hAnsi="Arial" w:cs="Arial"/>
      <w:sz w:val="23"/>
      <w:szCs w:val="23"/>
      <w:lang w:val="lv-LV"/>
    </w:rPr>
  </w:style>
  <w:style w:type="character" w:customStyle="1" w:styleId="BodyTextIndent2Char">
    <w:name w:val="Body Text Indent 2 Char"/>
    <w:basedOn w:val="DefaultParagraphFont"/>
    <w:link w:val="BodyTextIndent2"/>
    <w:uiPriority w:val="99"/>
    <w:semiHidden/>
    <w:rPr>
      <w:sz w:val="20"/>
      <w:szCs w:val="20"/>
      <w:lang w:val="en-US" w:eastAsia="en-US"/>
    </w:rPr>
  </w:style>
  <w:style w:type="paragraph" w:styleId="BodyText2">
    <w:name w:val="Body Text 2"/>
    <w:basedOn w:val="Normal"/>
    <w:link w:val="BodyText2Char"/>
    <w:uiPriority w:val="99"/>
    <w:pPr>
      <w:tabs>
        <w:tab w:val="left" w:pos="567"/>
      </w:tabs>
      <w:ind w:right="42"/>
      <w:jc w:val="both"/>
    </w:pPr>
    <w:rPr>
      <w:rFonts w:ascii="Arial" w:hAnsi="Arial" w:cs="Arial"/>
      <w:color w:val="000000"/>
      <w:sz w:val="24"/>
      <w:szCs w:val="24"/>
      <w:lang w:val="lv-LV"/>
    </w:rPr>
  </w:style>
  <w:style w:type="character" w:customStyle="1" w:styleId="BodyText2Char">
    <w:name w:val="Body Text 2 Char"/>
    <w:basedOn w:val="DefaultParagraphFont"/>
    <w:link w:val="BodyText2"/>
    <w:uiPriority w:val="99"/>
    <w:semiHidden/>
    <w:rPr>
      <w:sz w:val="20"/>
      <w:szCs w:val="20"/>
      <w:lang w:val="en-US" w:eastAsia="en-US"/>
    </w:rPr>
  </w:style>
  <w:style w:type="paragraph" w:styleId="BodyTextIndent3">
    <w:name w:val="Body Text Indent 3"/>
    <w:basedOn w:val="Normal"/>
    <w:link w:val="BodyTextIndent3Char"/>
    <w:uiPriority w:val="99"/>
    <w:pPr>
      <w:widowControl w:val="0"/>
      <w:ind w:firstLine="320"/>
    </w:pPr>
    <w:rPr>
      <w:rFonts w:ascii="Arial" w:hAnsi="Arial" w:cs="Arial"/>
      <w:b/>
      <w:bCs/>
      <w:sz w:val="23"/>
      <w:szCs w:val="23"/>
      <w:lang w:val="lv-LV"/>
    </w:rPr>
  </w:style>
  <w:style w:type="character" w:customStyle="1" w:styleId="BodyTextIndent3Char">
    <w:name w:val="Body Text Indent 3 Char"/>
    <w:basedOn w:val="DefaultParagraphFont"/>
    <w:link w:val="BodyTextIndent3"/>
    <w:uiPriority w:val="99"/>
    <w:semiHidden/>
    <w:rPr>
      <w:sz w:val="16"/>
      <w:szCs w:val="16"/>
      <w:lang w:val="en-US" w:eastAsia="en-US"/>
    </w:rPr>
  </w:style>
  <w:style w:type="paragraph" w:styleId="BodyText3">
    <w:name w:val="Body Text 3"/>
    <w:basedOn w:val="Normal"/>
    <w:link w:val="BodyText3Char"/>
    <w:uiPriority w:val="99"/>
    <w:pPr>
      <w:widowControl w:val="0"/>
      <w:spacing w:line="320" w:lineRule="auto"/>
      <w:ind w:right="400"/>
      <w:jc w:val="both"/>
    </w:pPr>
    <w:rPr>
      <w:rFonts w:ascii="Arial" w:hAnsi="Arial" w:cs="Arial"/>
      <w:b/>
      <w:bCs/>
      <w:i/>
      <w:iCs/>
      <w:sz w:val="28"/>
      <w:szCs w:val="28"/>
      <w:lang w:val="lv-LV"/>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BodyText">
    <w:name w:val="Body Text"/>
    <w:basedOn w:val="Normal"/>
    <w:link w:val="BodyTextChar"/>
    <w:uiPriority w:val="99"/>
    <w:pPr>
      <w:spacing w:line="360" w:lineRule="auto"/>
      <w:jc w:val="both"/>
    </w:pPr>
    <w:rPr>
      <w:rFonts w:ascii="Arial" w:hAnsi="Arial" w:cs="Arial"/>
      <w:b/>
      <w:bCs/>
      <w:i/>
      <w:iCs/>
      <w:sz w:val="24"/>
      <w:szCs w:val="24"/>
      <w:u w:val="single"/>
    </w:rPr>
  </w:style>
  <w:style w:type="character" w:customStyle="1" w:styleId="BodyTextChar">
    <w:name w:val="Body Text Char"/>
    <w:basedOn w:val="DefaultParagraphFont"/>
    <w:link w:val="BodyText"/>
    <w:uiPriority w:val="99"/>
    <w:semiHidden/>
    <w:rPr>
      <w:sz w:val="20"/>
      <w:szCs w:val="20"/>
      <w:lang w:val="en-US" w:eastAsia="en-US"/>
    </w:rPr>
  </w:style>
  <w:style w:type="paragraph" w:styleId="BlockText">
    <w:name w:val="Block Text"/>
    <w:basedOn w:val="Normal"/>
    <w:uiPriority w:val="99"/>
    <w:pPr>
      <w:ind w:left="1134" w:right="42"/>
      <w:jc w:val="both"/>
    </w:pPr>
    <w:rPr>
      <w:rFonts w:ascii="Arial" w:hAnsi="Arial" w:cs="Arial"/>
      <w:sz w:val="24"/>
      <w:szCs w:val="24"/>
      <w:lang w:val="lv-LV"/>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sid w:val="0009540B"/>
    <w:rPr>
      <w:lang w:val="en-GB"/>
    </w:rPr>
  </w:style>
  <w:style w:type="character" w:customStyle="1" w:styleId="FootnoteTextChar">
    <w:name w:val="Footnote Text Char"/>
    <w:basedOn w:val="DefaultParagraphFont"/>
    <w:link w:val="FootnoteText"/>
    <w:uiPriority w:val="99"/>
    <w:semiHidden/>
    <w:rPr>
      <w:sz w:val="20"/>
      <w:szCs w:val="20"/>
      <w:lang w:val="en-US" w:eastAsia="en-US"/>
    </w:rPr>
  </w:style>
  <w:style w:type="character" w:styleId="FootnoteReference">
    <w:name w:val="footnote reference"/>
    <w:basedOn w:val="DefaultParagraphFont"/>
    <w:uiPriority w:val="99"/>
    <w:semiHidden/>
    <w:rsid w:val="000954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26264</Words>
  <Characters>14971</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APSTIPRINU:</vt:lpstr>
    </vt:vector>
  </TitlesOfParts>
  <Company>Va/s "LDz"</Company>
  <LinksUpToDate>false</LinksUpToDate>
  <CharactersWithSpaces>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Rudans</dc:creator>
  <cp:lastModifiedBy>Janis Dzalbe</cp:lastModifiedBy>
  <cp:revision>2</cp:revision>
  <cp:lastPrinted>2007-12-13T08:23:00Z</cp:lastPrinted>
  <dcterms:created xsi:type="dcterms:W3CDTF">2014-03-13T14:10:00Z</dcterms:created>
  <dcterms:modified xsi:type="dcterms:W3CDTF">2014-03-13T14:10:00Z</dcterms:modified>
</cp:coreProperties>
</file>