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548D1" w14:textId="77777777" w:rsidR="0053711D" w:rsidRPr="0053711D" w:rsidRDefault="0053711D" w:rsidP="0053711D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3711D">
        <w:rPr>
          <w:rFonts w:ascii="Arial" w:eastAsia="Times New Roman" w:hAnsi="Arial" w:cs="Arial"/>
          <w:kern w:val="0"/>
          <w:sz w:val="20"/>
          <w:szCs w:val="20"/>
          <w14:ligatures w14:val="none"/>
        </w:rPr>
        <w:t>APSTIPRINĀTS</w:t>
      </w:r>
    </w:p>
    <w:p w14:paraId="64C742C2" w14:textId="77777777" w:rsidR="0053711D" w:rsidRPr="0053711D" w:rsidRDefault="0053711D" w:rsidP="0053711D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3711D">
        <w:rPr>
          <w:rFonts w:ascii="Arial" w:eastAsia="Times New Roman" w:hAnsi="Arial" w:cs="Arial"/>
          <w:kern w:val="0"/>
          <w:sz w:val="20"/>
          <w:szCs w:val="20"/>
          <w14:ligatures w14:val="none"/>
        </w:rPr>
        <w:t>ar VAS “Latvijas dzelzceļš” iepirkuma komisijas</w:t>
      </w:r>
    </w:p>
    <w:p w14:paraId="4B58EC3A" w14:textId="29BDEF2F" w:rsidR="0053711D" w:rsidRPr="0053711D" w:rsidRDefault="0053711D" w:rsidP="0053711D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3711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2024.gada 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22</w:t>
      </w:r>
      <w:r w:rsidRPr="0053711D">
        <w:rPr>
          <w:rFonts w:ascii="Arial" w:eastAsia="Times New Roman" w:hAnsi="Arial" w:cs="Arial"/>
          <w:kern w:val="0"/>
          <w:sz w:val="20"/>
          <w:szCs w:val="20"/>
          <w14:ligatures w14:val="none"/>
        </w:rPr>
        <w:t>.jūlija 2.sēdes protokolu</w:t>
      </w:r>
    </w:p>
    <w:p w14:paraId="2D6B3CDF" w14:textId="77777777" w:rsidR="0053711D" w:rsidRPr="0053711D" w:rsidRDefault="0053711D" w:rsidP="0053711D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60AFBA6" w14:textId="77777777" w:rsidR="0053711D" w:rsidRPr="0053711D" w:rsidRDefault="0053711D" w:rsidP="00532781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E64D177" w14:textId="6879B13A" w:rsidR="0053711D" w:rsidRPr="0053711D" w:rsidRDefault="0053711D" w:rsidP="00532781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3711D">
        <w:rPr>
          <w:rFonts w:ascii="Arial" w:eastAsia="Times New Roman" w:hAnsi="Arial" w:cs="Arial"/>
          <w:kern w:val="0"/>
          <w:sz w:val="20"/>
          <w:szCs w:val="20"/>
          <w14:ligatures w14:val="none"/>
        </w:rPr>
        <w:t>VAS „Latvijas dzelzceļš”</w:t>
      </w:r>
    </w:p>
    <w:p w14:paraId="2CC4AAFB" w14:textId="77777777" w:rsidR="0053711D" w:rsidRPr="0053711D" w:rsidRDefault="0053711D" w:rsidP="00532781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3711D">
        <w:rPr>
          <w:rFonts w:ascii="Arial" w:eastAsia="Times New Roman" w:hAnsi="Arial" w:cs="Arial"/>
          <w:kern w:val="0"/>
          <w:sz w:val="20"/>
          <w:szCs w:val="20"/>
          <w14:ligatures w14:val="none"/>
        </w:rPr>
        <w:t>sarunu procedūras ar publikāciju</w:t>
      </w:r>
    </w:p>
    <w:p w14:paraId="0FE036A1" w14:textId="1F90EC84" w:rsidR="0053711D" w:rsidRPr="0053711D" w:rsidRDefault="0053711D" w:rsidP="00532781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3711D">
        <w:rPr>
          <w:rFonts w:ascii="Arial" w:eastAsia="Times New Roman" w:hAnsi="Arial" w:cs="Arial"/>
          <w:kern w:val="0"/>
          <w:sz w:val="20"/>
          <w:szCs w:val="20"/>
          <w14:ligatures w14:val="none"/>
        </w:rPr>
        <w:t>“Mērīšanas un regulēšanas iekārtu un aparātu piegāde”</w:t>
      </w:r>
    </w:p>
    <w:p w14:paraId="279C70FE" w14:textId="46A39BA0" w:rsidR="0053711D" w:rsidRPr="0053711D" w:rsidRDefault="0053711D" w:rsidP="00532781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3711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Iepirkuma </w:t>
      </w:r>
      <w:proofErr w:type="spellStart"/>
      <w:r w:rsidRPr="0053711D">
        <w:rPr>
          <w:rFonts w:ascii="Arial" w:eastAsia="Times New Roman" w:hAnsi="Arial" w:cs="Arial"/>
          <w:kern w:val="0"/>
          <w:sz w:val="20"/>
          <w:szCs w:val="20"/>
          <w14:ligatures w14:val="none"/>
        </w:rPr>
        <w:t>Id.Nr</w:t>
      </w:r>
      <w:proofErr w:type="spellEnd"/>
      <w:r w:rsidRPr="0053711D">
        <w:rPr>
          <w:rFonts w:ascii="Arial" w:eastAsia="Times New Roman" w:hAnsi="Arial" w:cs="Arial"/>
          <w:kern w:val="0"/>
          <w:sz w:val="20"/>
          <w:szCs w:val="20"/>
          <w14:ligatures w14:val="none"/>
        </w:rPr>
        <w:t>. LDZ 2024/100-SPAV</w:t>
      </w:r>
    </w:p>
    <w:p w14:paraId="37A78416" w14:textId="77777777" w:rsidR="0053711D" w:rsidRPr="0053711D" w:rsidRDefault="0053711D" w:rsidP="00532781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083023B" w14:textId="77777777" w:rsidR="0053711D" w:rsidRPr="0053711D" w:rsidRDefault="0053711D" w:rsidP="00532781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3711D">
        <w:rPr>
          <w:rFonts w:ascii="Arial" w:eastAsia="Times New Roman" w:hAnsi="Arial" w:cs="Arial"/>
          <w:kern w:val="0"/>
          <w:sz w:val="20"/>
          <w:szCs w:val="20"/>
          <w14:ligatures w14:val="none"/>
        </w:rPr>
        <w:t>Grozījumi Nr.1</w:t>
      </w:r>
    </w:p>
    <w:p w14:paraId="2CF95ACA" w14:textId="77777777" w:rsidR="0053711D" w:rsidRPr="0053711D" w:rsidRDefault="0053711D" w:rsidP="0053711D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E48A969" w14:textId="30ABF2C9" w:rsidR="0053711D" w:rsidRDefault="006511FC" w:rsidP="0053711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Izteikt i</w:t>
      </w:r>
      <w:r w:rsidR="0053711D" w:rsidRPr="0053711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epirkuma nolikuma 2.pielikuma 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“</w:t>
      </w:r>
      <w:r w:rsidR="0053711D" w:rsidRPr="0053711D">
        <w:rPr>
          <w:rFonts w:ascii="Arial" w:eastAsia="Times New Roman" w:hAnsi="Arial" w:cs="Arial"/>
          <w:kern w:val="0"/>
          <w:sz w:val="20"/>
          <w:szCs w:val="20"/>
          <w14:ligatures w14:val="none"/>
        </w:rPr>
        <w:t>TEHNISKĀ SPECIFIKĀCIJA / tehniskais- finanšu piedāvājums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”</w:t>
      </w:r>
      <w:r w:rsidR="0053711D" w:rsidRPr="0053711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17. un 18.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punktu jaunā</w:t>
      </w:r>
      <w:r w:rsidR="0053711D" w:rsidRPr="0053711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redakcijā:</w:t>
      </w:r>
    </w:p>
    <w:p w14:paraId="2FA54E2E" w14:textId="77777777" w:rsidR="0053711D" w:rsidRDefault="0053711D" w:rsidP="0053711D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14454" w:type="dxa"/>
        <w:tblLayout w:type="fixed"/>
        <w:tblLook w:val="04A0" w:firstRow="1" w:lastRow="0" w:firstColumn="1" w:lastColumn="0" w:noHBand="0" w:noVBand="1"/>
      </w:tblPr>
      <w:tblGrid>
        <w:gridCol w:w="663"/>
        <w:gridCol w:w="1317"/>
        <w:gridCol w:w="1276"/>
        <w:gridCol w:w="1417"/>
        <w:gridCol w:w="3260"/>
        <w:gridCol w:w="567"/>
        <w:gridCol w:w="993"/>
        <w:gridCol w:w="850"/>
        <w:gridCol w:w="709"/>
        <w:gridCol w:w="709"/>
        <w:gridCol w:w="708"/>
        <w:gridCol w:w="993"/>
        <w:gridCol w:w="992"/>
      </w:tblGrid>
      <w:tr w:rsidR="0053711D" w:rsidRPr="0053711D" w14:paraId="7A6B7D1F" w14:textId="77777777" w:rsidTr="0053711D">
        <w:trPr>
          <w:trHeight w:val="300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A8CB11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  <w:t>Daļas Nr. p.k.</w:t>
            </w:r>
            <w:r w:rsidRPr="0053711D">
              <w:rPr>
                <w:rFonts w:ascii="Times New Roman" w:eastAsia="Times New Roman" w:hAnsi="Times New Roman" w:cs="Arial"/>
                <w:kern w:val="0"/>
                <w:sz w:val="18"/>
                <w:szCs w:val="18"/>
                <w:vertAlign w:val="superscript"/>
                <w:lang w:eastAsia="lv-LV"/>
                <w14:ligatures w14:val="none"/>
              </w:rPr>
              <w:footnoteReference w:id="1"/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E832A7C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8"/>
                <w:szCs w:val="18"/>
                <w14:ligatures w14:val="none"/>
              </w:rPr>
              <w:t>Mērīšanas un regulēšanas iekārtas un aparāta</w:t>
            </w:r>
            <w:r w:rsidRPr="0053711D">
              <w:rPr>
                <w:rFonts w:ascii="Times New Roman" w:eastAsia="Times New Roman" w:hAnsi="Times New Roman" w:cs="Arial"/>
                <w:color w:val="FF0000"/>
                <w:kern w:val="0"/>
                <w:sz w:val="18"/>
                <w:szCs w:val="18"/>
                <w:vertAlign w:val="superscript"/>
                <w14:ligatures w14:val="none"/>
              </w:rPr>
              <w:footnoteReference w:id="2"/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901B2AF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  <w:t>Komplektācija</w:t>
            </w:r>
            <w:r w:rsidRPr="0053711D">
              <w:rPr>
                <w:rFonts w:ascii="Times New Roman" w:eastAsia="Times New Roman" w:hAnsi="Times New Roman" w:cs="Arial"/>
                <w:kern w:val="0"/>
                <w:sz w:val="18"/>
                <w:szCs w:val="18"/>
                <w:vertAlign w:val="superscript"/>
                <w:lang w:eastAsia="lv-LV"/>
                <w14:ligatures w14:val="none"/>
              </w:rPr>
              <w:footnoteReference w:id="3"/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0130C309" w14:textId="7F1DA512" w:rsidR="0053711D" w:rsidRPr="0053711D" w:rsidRDefault="0053711D" w:rsidP="0053711D">
            <w:pPr>
              <w:spacing w:after="0" w:line="240" w:lineRule="auto"/>
              <w:ind w:left="113" w:right="-111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  <w:t>Mērvienība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6B6F37B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  <w:t>Daudzums un piegādes adreses*: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3A78CE6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0"/>
                <w:sz w:val="18"/>
                <w:szCs w:val="18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b/>
                <w:bCs/>
                <w:kern w:val="0"/>
                <w:sz w:val="18"/>
                <w:szCs w:val="18"/>
                <w:lang w:eastAsia="lv-LV"/>
                <w14:ligatures w14:val="none"/>
              </w:rPr>
              <w:t>Vienības cena, EUR, bez PVN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DD54957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b/>
                <w:bCs/>
                <w:kern w:val="0"/>
                <w:sz w:val="18"/>
                <w:szCs w:val="18"/>
                <w:lang w:eastAsia="lv-LV"/>
                <w14:ligatures w14:val="none"/>
              </w:rPr>
              <w:t>Summa, EUR, bez PVN</w:t>
            </w:r>
          </w:p>
        </w:tc>
      </w:tr>
      <w:tr w:rsidR="0053711D" w:rsidRPr="0053711D" w14:paraId="0525623E" w14:textId="77777777" w:rsidTr="0053711D">
        <w:trPr>
          <w:trHeight w:val="28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AC0B78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40C226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  <w:t>Nosaukums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65178E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  <w:t>Modelis</w:t>
            </w:r>
          </w:p>
          <w:p w14:paraId="57455DB4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t>(ja ir, tehniskās dokumentācijas interneta vietnes adrese)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B28A84C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  <w:t>Ražotājs</w:t>
            </w:r>
            <w:r w:rsidRPr="0053711D">
              <w:rPr>
                <w:rFonts w:ascii="Times New Roman" w:eastAsia="Times New Roman" w:hAnsi="Times New Roman" w:cs="Arial"/>
                <w:kern w:val="0"/>
                <w:sz w:val="18"/>
                <w:szCs w:val="18"/>
                <w:vertAlign w:val="superscript"/>
                <w:lang w:eastAsia="lv-LV"/>
                <w14:ligatures w14:val="none"/>
              </w:rPr>
              <w:footnoteReference w:id="4"/>
            </w:r>
          </w:p>
          <w:p w14:paraId="355C5E99" w14:textId="4E2899A0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  <w:t>(nosaukums, ražošanas valsts, pašreizējā atrašanās vieta)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3A5D167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5F2146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8C77DD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  <w:t>EPR-1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DF0F76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  <w:t>EPR-2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5660E1DB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  <w:t>EPR-3</w:t>
            </w:r>
          </w:p>
        </w:tc>
        <w:tc>
          <w:tcPr>
            <w:tcW w:w="708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5DC56D0B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0"/>
                <w:sz w:val="18"/>
                <w:szCs w:val="18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b/>
                <w:bCs/>
                <w:kern w:val="0"/>
                <w:sz w:val="18"/>
                <w:szCs w:val="18"/>
                <w:lang w:eastAsia="lv-LV"/>
                <w14:ligatures w14:val="none"/>
              </w:rPr>
              <w:t>Kopā</w:t>
            </w: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9F51AB5" w14:textId="77777777" w:rsidR="0053711D" w:rsidRPr="0053711D" w:rsidRDefault="0053711D" w:rsidP="0053711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Arial"/>
                <w:b/>
                <w:bCs/>
                <w:kern w:val="0"/>
                <w:sz w:val="18"/>
                <w:szCs w:val="18"/>
                <w:lang w:eastAsia="lv-LV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4B0E782E" w14:textId="77777777" w:rsidR="0053711D" w:rsidRPr="0053711D" w:rsidRDefault="0053711D" w:rsidP="0053711D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Arial"/>
                <w:b/>
                <w:bCs/>
                <w:kern w:val="0"/>
                <w:sz w:val="18"/>
                <w:szCs w:val="18"/>
                <w:lang w:eastAsia="lv-LV"/>
                <w14:ligatures w14:val="none"/>
              </w:rPr>
            </w:pPr>
          </w:p>
        </w:tc>
      </w:tr>
      <w:tr w:rsidR="0053711D" w:rsidRPr="0053711D" w14:paraId="5077916D" w14:textId="77777777" w:rsidTr="0053711D">
        <w:trPr>
          <w:trHeight w:val="255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6369CB9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8272185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3DF3FD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3C5F060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A366F2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B1241C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C329F9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  <w:t>Krustpils iela 24, Rīgā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2E3390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  <w:t>Krūzes iela 47A, Rīgā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7CE9B0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7C1DDEA0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20F28A3A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3AD8E57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043A6D16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</w:p>
        </w:tc>
      </w:tr>
      <w:tr w:rsidR="0053711D" w:rsidRPr="0053711D" w14:paraId="6E295F11" w14:textId="77777777" w:rsidTr="0053711D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12D16D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t>[1]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F8F95E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t>[2]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8382E2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t>[3]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40FC22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t>[4]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156AB6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t>[5]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AB9119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t>[6]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EA42C6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t>[7]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1085D7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t>[8]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EB4FC4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t>[9]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0C5FD0B2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t>[10]</w:t>
            </w:r>
          </w:p>
        </w:tc>
        <w:tc>
          <w:tcPr>
            <w:tcW w:w="7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2D602DF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t>[11]</w:t>
            </w:r>
          </w:p>
        </w:tc>
        <w:tc>
          <w:tcPr>
            <w:tcW w:w="99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739066A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t>[12]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61B815CE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t>[13]</w:t>
            </w:r>
          </w:p>
        </w:tc>
      </w:tr>
      <w:tr w:rsidR="0053711D" w:rsidRPr="0053711D" w14:paraId="75333060" w14:textId="77777777" w:rsidTr="00476290">
        <w:trPr>
          <w:trHeight w:val="294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D2DA7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lv-LV"/>
                <w14:ligatures w14:val="none"/>
              </w:rPr>
            </w:pPr>
            <w:r w:rsidRPr="0053711D">
              <w:rPr>
                <w:rFonts w:ascii="Arial" w:eastAsia="Times New Roman" w:hAnsi="Arial" w:cs="Arial"/>
                <w:kern w:val="0"/>
                <w:sz w:val="16"/>
                <w:szCs w:val="16"/>
                <w:lang w:eastAsia="lv-LV"/>
                <w14:ligatures w14:val="none"/>
              </w:rPr>
              <w:t>17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4BF1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53711D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Spektra analizators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2216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53711D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MS2070A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6F0C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3711D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Anritsu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F7C2" w14:textId="4C82CFFF" w:rsidR="0053711D" w:rsidRPr="00476290" w:rsidRDefault="0053711D" w:rsidP="00476290">
            <w:pPr>
              <w:tabs>
                <w:tab w:val="left" w:pos="272"/>
              </w:tabs>
              <w:spacing w:after="0" w:line="240" w:lineRule="auto"/>
              <w:ind w:left="29"/>
              <w:contextualSpacing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1)</w:t>
            </w:r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ab/>
              <w:t>Mērierīces ražotāja standarta komplektācija</w:t>
            </w:r>
          </w:p>
          <w:p w14:paraId="32756FDF" w14:textId="77777777" w:rsidR="0053711D" w:rsidRPr="00476290" w:rsidRDefault="0053711D" w:rsidP="0053711D">
            <w:pPr>
              <w:tabs>
                <w:tab w:val="left" w:pos="272"/>
              </w:tabs>
              <w:spacing w:after="0" w:line="240" w:lineRule="auto"/>
              <w:ind w:left="29"/>
              <w:contextualSpacing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2) Rokas traucējumu meklētājs MA2700A;</w:t>
            </w:r>
          </w:p>
          <w:p w14:paraId="5E517FCC" w14:textId="77777777" w:rsidR="0053711D" w:rsidRPr="00476290" w:rsidRDefault="0053711D" w:rsidP="0053711D">
            <w:pPr>
              <w:tabs>
                <w:tab w:val="left" w:pos="272"/>
              </w:tabs>
              <w:spacing w:after="0" w:line="240" w:lineRule="auto"/>
              <w:ind w:left="29"/>
              <w:contextualSpacing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3) Antena 2000-1777-R (9kHz to 20 </w:t>
            </w:r>
            <w:proofErr w:type="spellStart"/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Mhz</w:t>
            </w:r>
            <w:proofErr w:type="spellEnd"/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);</w:t>
            </w:r>
          </w:p>
          <w:p w14:paraId="77A0A161" w14:textId="77777777" w:rsidR="0053711D" w:rsidRPr="00476290" w:rsidRDefault="0053711D" w:rsidP="0053711D">
            <w:pPr>
              <w:tabs>
                <w:tab w:val="left" w:pos="272"/>
              </w:tabs>
              <w:spacing w:after="0" w:line="240" w:lineRule="auto"/>
              <w:ind w:left="29"/>
              <w:contextualSpacing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4) Porta paplašinātājs 2000-1798-R;</w:t>
            </w:r>
          </w:p>
          <w:p w14:paraId="685BF222" w14:textId="77777777" w:rsidR="0053711D" w:rsidRPr="00476290" w:rsidRDefault="0053711D" w:rsidP="0053711D">
            <w:pPr>
              <w:tabs>
                <w:tab w:val="left" w:pos="272"/>
              </w:tabs>
              <w:spacing w:after="0" w:line="240" w:lineRule="auto"/>
              <w:ind w:left="29"/>
              <w:contextualSpacing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5) Antena 2000-2107-R;</w:t>
            </w:r>
          </w:p>
          <w:p w14:paraId="2A64F1C6" w14:textId="77777777" w:rsidR="0053711D" w:rsidRPr="00476290" w:rsidRDefault="0053711D" w:rsidP="0053711D">
            <w:pPr>
              <w:tabs>
                <w:tab w:val="left" w:pos="272"/>
              </w:tabs>
              <w:spacing w:after="0" w:line="240" w:lineRule="auto"/>
              <w:ind w:left="29"/>
              <w:contextualSpacing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6) Opcija 509 - AM/FM modulācijas mērīšana;</w:t>
            </w:r>
          </w:p>
          <w:p w14:paraId="7D9BF039" w14:textId="77777777" w:rsidR="0053711D" w:rsidRPr="00476290" w:rsidRDefault="0053711D" w:rsidP="0053711D">
            <w:pPr>
              <w:tabs>
                <w:tab w:val="left" w:pos="272"/>
              </w:tabs>
              <w:spacing w:after="0" w:line="240" w:lineRule="auto"/>
              <w:ind w:left="29"/>
              <w:contextualSpacing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7) Programmnodrošinājums Mobile </w:t>
            </w:r>
            <w:proofErr w:type="spellStart"/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InterferenceHunter</w:t>
            </w:r>
            <w:proofErr w:type="spellEnd"/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™ MX280007A;</w:t>
            </w:r>
          </w:p>
          <w:p w14:paraId="3BCFC5D4" w14:textId="77777777" w:rsidR="00476290" w:rsidRDefault="0053711D" w:rsidP="00476290">
            <w:pPr>
              <w:tabs>
                <w:tab w:val="left" w:pos="272"/>
              </w:tabs>
              <w:spacing w:after="0" w:line="240" w:lineRule="auto"/>
              <w:ind w:left="29"/>
              <w:contextualSpacing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8) Programmnodrošinājums MS2070A PC </w:t>
            </w:r>
            <w:proofErr w:type="spellStart"/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Remote</w:t>
            </w:r>
            <w:proofErr w:type="spellEnd"/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User Interface;</w:t>
            </w:r>
            <w:r w:rsidR="00476290"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13EE0888" w14:textId="77777777" w:rsidR="00532781" w:rsidRDefault="00476290" w:rsidP="00532781">
            <w:pPr>
              <w:tabs>
                <w:tab w:val="left" w:pos="272"/>
              </w:tabs>
              <w:spacing w:after="0" w:line="240" w:lineRule="auto"/>
              <w:ind w:left="29"/>
              <w:contextualSpacing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9) </w:t>
            </w:r>
            <w:proofErr w:type="spellStart"/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Priekšpastirpinatājs</w:t>
            </w:r>
            <w:proofErr w:type="spellEnd"/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DANL </w:t>
            </w:r>
            <w:proofErr w:type="spellStart"/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Preamp</w:t>
            </w:r>
            <w:proofErr w:type="spellEnd"/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on</w:t>
            </w:r>
            <w:proofErr w:type="spellEnd"/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-167 </w:t>
            </w:r>
            <w:proofErr w:type="spellStart"/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dBm</w:t>
            </w:r>
            <w:proofErr w:type="spellEnd"/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typical</w:t>
            </w:r>
            <w:proofErr w:type="spellEnd"/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;</w:t>
            </w:r>
          </w:p>
          <w:p w14:paraId="4015F56A" w14:textId="2DCA0C65" w:rsidR="0053711D" w:rsidRPr="0053711D" w:rsidRDefault="00532781" w:rsidP="00532781">
            <w:pPr>
              <w:tabs>
                <w:tab w:val="left" w:pos="272"/>
              </w:tabs>
              <w:spacing w:after="0" w:line="240" w:lineRule="auto"/>
              <w:ind w:left="29"/>
              <w:contextualSpacing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10) Zondes komplekts EMI Near-</w:t>
            </w:r>
            <w:proofErr w:type="spellStart"/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Field</w:t>
            </w:r>
            <w:proofErr w:type="spellEnd"/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Probe </w:t>
            </w:r>
            <w:proofErr w:type="spellStart"/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Kit</w:t>
            </w:r>
            <w:proofErr w:type="spellEnd"/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CBCF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color w:val="000000"/>
                <w:kern w:val="0"/>
                <w:sz w:val="18"/>
                <w:szCs w:val="18"/>
                <w14:ligatures w14:val="none"/>
              </w:rPr>
              <w:t>gab.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B980C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833C0C"/>
                <w:kern w:val="0"/>
                <w:sz w:val="18"/>
                <w:szCs w:val="18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color w:val="833C0C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4C1A7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833C0C"/>
                <w:kern w:val="0"/>
                <w:sz w:val="18"/>
                <w:szCs w:val="18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color w:val="833C0C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5ED78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548235"/>
                <w:kern w:val="0"/>
                <w:sz w:val="18"/>
                <w:szCs w:val="18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color w:val="548235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BB41193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203764"/>
                <w:kern w:val="0"/>
                <w:sz w:val="18"/>
                <w:szCs w:val="18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color w:val="203764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6130D58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b/>
                <w:bCs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F3B3BF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438ADD" w14:textId="77777777" w:rsidR="0053711D" w:rsidRPr="0053711D" w:rsidRDefault="0053711D" w:rsidP="0053711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476290" w:rsidRPr="0053711D" w14:paraId="25FD3A19" w14:textId="77777777" w:rsidTr="00476290">
        <w:trPr>
          <w:trHeight w:val="29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DDE2895" w14:textId="2A0E1FFC" w:rsidR="00476290" w:rsidRPr="0053711D" w:rsidRDefault="00476290" w:rsidP="004762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lastRenderedPageBreak/>
              <w:t>[1]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C7C387" w14:textId="7AEDD020" w:rsidR="00476290" w:rsidRPr="0053711D" w:rsidRDefault="00476290" w:rsidP="004762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t>[2]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A5055B" w14:textId="105643B4" w:rsidR="00476290" w:rsidRPr="0053711D" w:rsidRDefault="00476290" w:rsidP="004762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t>[3]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CB62E0" w14:textId="58700F67" w:rsidR="00476290" w:rsidRPr="0053711D" w:rsidRDefault="00476290" w:rsidP="004762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t>[4]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9D1E04" w14:textId="5E0BD967" w:rsidR="00476290" w:rsidRPr="00476290" w:rsidRDefault="00476290" w:rsidP="00476290">
            <w:pPr>
              <w:tabs>
                <w:tab w:val="left" w:pos="272"/>
              </w:tabs>
              <w:spacing w:after="0" w:line="240" w:lineRule="auto"/>
              <w:ind w:left="29"/>
              <w:contextualSpacing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t>[5]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9555D9" w14:textId="07A02F58" w:rsidR="00476290" w:rsidRPr="0053711D" w:rsidRDefault="00476290" w:rsidP="0047629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t>[6]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00B29DE" w14:textId="2744FE2A" w:rsidR="00476290" w:rsidRPr="0053711D" w:rsidRDefault="00476290" w:rsidP="0047629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833C0C"/>
                <w:kern w:val="0"/>
                <w:sz w:val="18"/>
                <w:szCs w:val="18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t>[7]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75200CB" w14:textId="1CD757C5" w:rsidR="00476290" w:rsidRPr="0053711D" w:rsidRDefault="00476290" w:rsidP="0047629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833C0C"/>
                <w:kern w:val="0"/>
                <w:sz w:val="18"/>
                <w:szCs w:val="18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t>[8]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FF528BC" w14:textId="0C4ED120" w:rsidR="00476290" w:rsidRPr="0053711D" w:rsidRDefault="00476290" w:rsidP="0047629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548235"/>
                <w:kern w:val="0"/>
                <w:sz w:val="18"/>
                <w:szCs w:val="18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t>[9]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B28AEF5" w14:textId="46B960B6" w:rsidR="00476290" w:rsidRPr="0053711D" w:rsidRDefault="00476290" w:rsidP="0047629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203764"/>
                <w:kern w:val="0"/>
                <w:sz w:val="18"/>
                <w:szCs w:val="18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t>[10]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2CCADD1" w14:textId="50C006C6" w:rsidR="00476290" w:rsidRPr="0053711D" w:rsidRDefault="00476290" w:rsidP="0047629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t>[11]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350957" w14:textId="71D0BFE8" w:rsidR="00476290" w:rsidRPr="0053711D" w:rsidRDefault="00476290" w:rsidP="0047629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t>[12]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B3FCFD" w14:textId="705F0949" w:rsidR="00476290" w:rsidRPr="0053711D" w:rsidRDefault="00476290" w:rsidP="0047629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6"/>
                <w:szCs w:val="16"/>
                <w:lang w:eastAsia="lv-LV"/>
                <w14:ligatures w14:val="none"/>
              </w:rPr>
              <w:t>[13]</w:t>
            </w:r>
          </w:p>
        </w:tc>
      </w:tr>
      <w:tr w:rsidR="00476290" w:rsidRPr="0053711D" w14:paraId="05AEE9B4" w14:textId="77777777" w:rsidTr="0053711D">
        <w:trPr>
          <w:trHeight w:val="294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8810B" w14:textId="77777777" w:rsidR="00476290" w:rsidRPr="0053711D" w:rsidRDefault="00476290" w:rsidP="004762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lv-LV"/>
                <w14:ligatures w14:val="none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26BE" w14:textId="77777777" w:rsidR="00476290" w:rsidRPr="0053711D" w:rsidRDefault="00476290" w:rsidP="004762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ECCA" w14:textId="77777777" w:rsidR="00476290" w:rsidRPr="0053711D" w:rsidRDefault="00476290" w:rsidP="004762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C9D6" w14:textId="77777777" w:rsidR="00476290" w:rsidRPr="0053711D" w:rsidRDefault="00476290" w:rsidP="0047629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A107" w14:textId="77777777" w:rsidR="00476290" w:rsidRPr="00476290" w:rsidRDefault="00476290" w:rsidP="00476290">
            <w:pPr>
              <w:tabs>
                <w:tab w:val="left" w:pos="272"/>
              </w:tabs>
              <w:spacing w:after="0" w:line="240" w:lineRule="auto"/>
              <w:ind w:left="29"/>
              <w:contextualSpacing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11) Ražotāja izdotais kalibrēšanas sertifikāts</w:t>
            </w:r>
          </w:p>
          <w:p w14:paraId="7997360C" w14:textId="77777777" w:rsidR="00476290" w:rsidRPr="00476290" w:rsidRDefault="00476290" w:rsidP="00476290">
            <w:pPr>
              <w:tabs>
                <w:tab w:val="left" w:pos="272"/>
              </w:tabs>
              <w:spacing w:after="0" w:line="240" w:lineRule="auto"/>
              <w:ind w:left="29"/>
              <w:contextualSpacing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12) Opcija MS2070A-0703; </w:t>
            </w:r>
            <w:proofErr w:type="spellStart"/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Option</w:t>
            </w:r>
            <w:proofErr w:type="spellEnd"/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703, </w:t>
            </w:r>
            <w:proofErr w:type="spellStart"/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Frequency</w:t>
            </w:r>
            <w:proofErr w:type="spellEnd"/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Range</w:t>
            </w:r>
            <w:proofErr w:type="spellEnd"/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9 </w:t>
            </w:r>
            <w:proofErr w:type="spellStart"/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kHz</w:t>
            </w:r>
            <w:proofErr w:type="spellEnd"/>
            <w:r w:rsidRPr="00476290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to 3 GHz;</w:t>
            </w:r>
          </w:p>
          <w:p w14:paraId="08D50963" w14:textId="39016684" w:rsidR="00476290" w:rsidRPr="00476290" w:rsidRDefault="00476290" w:rsidP="00476290">
            <w:pPr>
              <w:tabs>
                <w:tab w:val="left" w:pos="272"/>
              </w:tabs>
              <w:spacing w:after="0" w:line="240" w:lineRule="auto"/>
              <w:ind w:left="29"/>
              <w:contextualSpacing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476290">
              <w:rPr>
                <w:rFonts w:ascii="Arial" w:hAnsi="Arial" w:cs="Arial"/>
                <w:sz w:val="16"/>
                <w:szCs w:val="16"/>
              </w:rPr>
              <w:t>13) 1092-172-R adapteris ar kabeli.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CAFE" w14:textId="77777777" w:rsidR="00476290" w:rsidRPr="0053711D" w:rsidRDefault="00476290" w:rsidP="0047629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95CAB" w14:textId="77777777" w:rsidR="00476290" w:rsidRPr="0053711D" w:rsidRDefault="00476290" w:rsidP="0047629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833C0C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509A0" w14:textId="77777777" w:rsidR="00476290" w:rsidRPr="0053711D" w:rsidRDefault="00476290" w:rsidP="0047629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833C0C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F228D" w14:textId="77777777" w:rsidR="00476290" w:rsidRPr="0053711D" w:rsidRDefault="00476290" w:rsidP="0047629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54823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1AD7CD9" w14:textId="77777777" w:rsidR="00476290" w:rsidRPr="0053711D" w:rsidRDefault="00476290" w:rsidP="0047629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203764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79B73D0" w14:textId="77777777" w:rsidR="00476290" w:rsidRPr="0053711D" w:rsidRDefault="00476290" w:rsidP="0047629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B6CA62" w14:textId="77777777" w:rsidR="00476290" w:rsidRPr="0053711D" w:rsidRDefault="00476290" w:rsidP="0047629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7EC095" w14:textId="77777777" w:rsidR="00476290" w:rsidRPr="0053711D" w:rsidRDefault="00476290" w:rsidP="0047629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476290" w:rsidRPr="0053711D" w14:paraId="63BCE4AD" w14:textId="77777777" w:rsidTr="0053711D">
        <w:trPr>
          <w:trHeight w:val="84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0B2D" w14:textId="77777777" w:rsidR="00476290" w:rsidRPr="0053711D" w:rsidRDefault="00476290" w:rsidP="0047629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  <w:t>18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ADAB" w14:textId="77777777" w:rsidR="00476290" w:rsidRPr="0053711D" w:rsidRDefault="00476290" w:rsidP="0047629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8"/>
                <w:szCs w:val="18"/>
                <w14:ligatures w14:val="none"/>
              </w:rPr>
              <w:t>Spektra analizators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3750" w14:textId="77777777" w:rsidR="00476290" w:rsidRPr="0053711D" w:rsidRDefault="00476290" w:rsidP="0047629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kern w:val="0"/>
                <w:sz w:val="18"/>
                <w:szCs w:val="18"/>
                <w14:ligatures w14:val="none"/>
              </w:rPr>
              <w:t>MS2070A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C8C4" w14:textId="77777777" w:rsidR="00476290" w:rsidRPr="0053711D" w:rsidRDefault="00476290" w:rsidP="0047629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  <w:proofErr w:type="spellStart"/>
            <w:r w:rsidRPr="0053711D">
              <w:rPr>
                <w:rFonts w:ascii="Times New Roman" w:eastAsia="Times New Roman" w:hAnsi="Times New Roman" w:cs="Arial"/>
                <w:kern w:val="0"/>
                <w:sz w:val="18"/>
                <w:szCs w:val="18"/>
                <w14:ligatures w14:val="none"/>
              </w:rPr>
              <w:t>Anritsu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E5D83" w14:textId="77777777" w:rsidR="00476290" w:rsidRPr="00476290" w:rsidRDefault="00476290" w:rsidP="00476290">
            <w:pPr>
              <w:numPr>
                <w:ilvl w:val="0"/>
                <w:numId w:val="1"/>
              </w:numPr>
              <w:tabs>
                <w:tab w:val="left" w:pos="59"/>
                <w:tab w:val="left" w:pos="319"/>
              </w:tabs>
              <w:spacing w:after="0" w:line="240" w:lineRule="auto"/>
              <w:ind w:left="36" w:firstLine="23"/>
              <w:contextualSpacing/>
              <w:rPr>
                <w:rFonts w:ascii="Times New Roman" w:eastAsia="Times New Roman" w:hAnsi="Times New Roman" w:cs="Arial"/>
                <w:kern w:val="0"/>
                <w:sz w:val="18"/>
                <w:szCs w:val="18"/>
                <w14:ligatures w14:val="none"/>
              </w:rPr>
            </w:pPr>
            <w:r w:rsidRPr="00476290">
              <w:rPr>
                <w:rFonts w:ascii="Times New Roman" w:eastAsia="Times New Roman" w:hAnsi="Times New Roman" w:cs="Arial"/>
                <w:kern w:val="0"/>
                <w:sz w:val="18"/>
                <w:szCs w:val="18"/>
                <w14:ligatures w14:val="none"/>
              </w:rPr>
              <w:t>Mērierīces ražotāja standarta komplektācija;</w:t>
            </w:r>
          </w:p>
          <w:p w14:paraId="79F67162" w14:textId="3AE990D5" w:rsidR="00476290" w:rsidRPr="00476290" w:rsidRDefault="00476290" w:rsidP="00476290">
            <w:pPr>
              <w:numPr>
                <w:ilvl w:val="0"/>
                <w:numId w:val="1"/>
              </w:numPr>
              <w:tabs>
                <w:tab w:val="left" w:pos="59"/>
                <w:tab w:val="left" w:pos="319"/>
              </w:tabs>
              <w:spacing w:after="0" w:line="240" w:lineRule="auto"/>
              <w:ind w:left="36" w:firstLine="23"/>
              <w:contextualSpacing/>
              <w:rPr>
                <w:rFonts w:ascii="Times New Roman" w:eastAsia="Times New Roman" w:hAnsi="Times New Roman" w:cs="Arial"/>
                <w:kern w:val="0"/>
                <w:sz w:val="18"/>
                <w:szCs w:val="18"/>
                <w14:ligatures w14:val="none"/>
              </w:rPr>
            </w:pPr>
            <w:r w:rsidRPr="00476290">
              <w:rPr>
                <w:rFonts w:ascii="Times New Roman" w:eastAsia="Times New Roman" w:hAnsi="Times New Roman" w:cs="Arial"/>
                <w:kern w:val="0"/>
                <w:sz w:val="18"/>
                <w:szCs w:val="18"/>
                <w14:ligatures w14:val="none"/>
              </w:rPr>
              <w:t xml:space="preserve"> Rokas traucējumu meklētājs MA2700A; </w:t>
            </w:r>
          </w:p>
          <w:p w14:paraId="7E68B41C" w14:textId="3375BD85" w:rsidR="00476290" w:rsidRPr="00476290" w:rsidRDefault="00476290" w:rsidP="00476290">
            <w:pPr>
              <w:numPr>
                <w:ilvl w:val="0"/>
                <w:numId w:val="1"/>
              </w:numPr>
              <w:tabs>
                <w:tab w:val="left" w:pos="59"/>
                <w:tab w:val="left" w:pos="319"/>
              </w:tabs>
              <w:spacing w:after="0" w:line="240" w:lineRule="auto"/>
              <w:ind w:left="36" w:firstLine="23"/>
              <w:contextualSpacing/>
              <w:rPr>
                <w:rFonts w:ascii="Times New Roman" w:eastAsia="Times New Roman" w:hAnsi="Times New Roman" w:cs="Arial"/>
                <w:kern w:val="0"/>
                <w:sz w:val="18"/>
                <w:szCs w:val="18"/>
                <w14:ligatures w14:val="none"/>
              </w:rPr>
            </w:pPr>
            <w:r w:rsidRPr="00476290">
              <w:rPr>
                <w:rFonts w:ascii="Times New Roman" w:eastAsia="Times New Roman" w:hAnsi="Times New Roman" w:cs="Arial"/>
                <w:kern w:val="0"/>
                <w:sz w:val="18"/>
                <w:szCs w:val="18"/>
                <w14:ligatures w14:val="none"/>
              </w:rPr>
              <w:t xml:space="preserve">Porta paplašinātājs 2000-1798-R; </w:t>
            </w:r>
          </w:p>
          <w:p w14:paraId="11D28B96" w14:textId="0CD6F698" w:rsidR="00476290" w:rsidRPr="00476290" w:rsidRDefault="00476290" w:rsidP="00476290">
            <w:pPr>
              <w:numPr>
                <w:ilvl w:val="0"/>
                <w:numId w:val="1"/>
              </w:numPr>
              <w:tabs>
                <w:tab w:val="left" w:pos="59"/>
                <w:tab w:val="left" w:pos="319"/>
              </w:tabs>
              <w:spacing w:after="0" w:line="240" w:lineRule="auto"/>
              <w:ind w:left="36" w:firstLine="23"/>
              <w:contextualSpacing/>
              <w:rPr>
                <w:rFonts w:ascii="Times New Roman" w:eastAsia="Times New Roman" w:hAnsi="Times New Roman" w:cs="Arial"/>
                <w:kern w:val="0"/>
                <w:sz w:val="18"/>
                <w:szCs w:val="18"/>
                <w14:ligatures w14:val="none"/>
              </w:rPr>
            </w:pPr>
            <w:r w:rsidRPr="00476290">
              <w:rPr>
                <w:rFonts w:ascii="Times New Roman" w:eastAsia="Times New Roman" w:hAnsi="Times New Roman" w:cs="Arial"/>
                <w:kern w:val="0"/>
                <w:sz w:val="18"/>
                <w:szCs w:val="18"/>
                <w14:ligatures w14:val="none"/>
              </w:rPr>
              <w:t>Antena 2000-2107-R;</w:t>
            </w:r>
          </w:p>
          <w:p w14:paraId="5541C53E" w14:textId="10E1AFEE" w:rsidR="00476290" w:rsidRPr="00476290" w:rsidRDefault="00476290" w:rsidP="00476290">
            <w:pPr>
              <w:numPr>
                <w:ilvl w:val="0"/>
                <w:numId w:val="1"/>
              </w:numPr>
              <w:tabs>
                <w:tab w:val="left" w:pos="59"/>
                <w:tab w:val="left" w:pos="319"/>
              </w:tabs>
              <w:spacing w:after="0" w:line="240" w:lineRule="auto"/>
              <w:ind w:left="36" w:firstLine="23"/>
              <w:contextualSpacing/>
              <w:rPr>
                <w:rFonts w:ascii="Times New Roman" w:eastAsia="Times New Roman" w:hAnsi="Times New Roman" w:cs="Arial"/>
                <w:kern w:val="0"/>
                <w:sz w:val="18"/>
                <w:szCs w:val="18"/>
                <w14:ligatures w14:val="none"/>
              </w:rPr>
            </w:pPr>
            <w:r w:rsidRPr="00476290">
              <w:rPr>
                <w:rFonts w:ascii="Times New Roman" w:eastAsia="Times New Roman" w:hAnsi="Times New Roman" w:cs="Arial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76290">
              <w:rPr>
                <w:rFonts w:ascii="Times New Roman" w:eastAsia="Times New Roman" w:hAnsi="Times New Roman" w:cs="Arial"/>
                <w:kern w:val="0"/>
                <w:sz w:val="18"/>
                <w:szCs w:val="18"/>
                <w14:ligatures w14:val="none"/>
              </w:rPr>
              <w:t>Priekšpastirpinatājs</w:t>
            </w:r>
            <w:proofErr w:type="spellEnd"/>
            <w:r w:rsidRPr="00476290">
              <w:rPr>
                <w:rFonts w:ascii="Times New Roman" w:eastAsia="Times New Roman" w:hAnsi="Times New Roman" w:cs="Arial"/>
                <w:kern w:val="0"/>
                <w:sz w:val="18"/>
                <w:szCs w:val="18"/>
                <w14:ligatures w14:val="none"/>
              </w:rPr>
              <w:t xml:space="preserve"> MS2070A-0008; </w:t>
            </w:r>
          </w:p>
          <w:p w14:paraId="5738CDDD" w14:textId="122CB29D" w:rsidR="00476290" w:rsidRPr="00476290" w:rsidRDefault="00476290" w:rsidP="00476290">
            <w:pPr>
              <w:numPr>
                <w:ilvl w:val="0"/>
                <w:numId w:val="1"/>
              </w:numPr>
              <w:tabs>
                <w:tab w:val="left" w:pos="59"/>
                <w:tab w:val="left" w:pos="319"/>
              </w:tabs>
              <w:spacing w:after="0" w:line="240" w:lineRule="auto"/>
              <w:ind w:left="36" w:firstLine="23"/>
              <w:contextualSpacing/>
              <w:rPr>
                <w:rFonts w:ascii="Times New Roman" w:eastAsia="Times New Roman" w:hAnsi="Times New Roman" w:cs="Arial"/>
                <w:kern w:val="0"/>
                <w:sz w:val="18"/>
                <w:szCs w:val="18"/>
                <w14:ligatures w14:val="none"/>
              </w:rPr>
            </w:pPr>
            <w:r w:rsidRPr="00476290">
              <w:rPr>
                <w:rFonts w:ascii="Times New Roman" w:eastAsia="Times New Roman" w:hAnsi="Times New Roman" w:cs="Arial"/>
                <w:kern w:val="0"/>
                <w:sz w:val="18"/>
                <w:szCs w:val="18"/>
                <w14:ligatures w14:val="none"/>
              </w:rPr>
              <w:t>Traucējumu meklēšanas opcija MS2070A-0024;</w:t>
            </w:r>
          </w:p>
          <w:p w14:paraId="393E782B" w14:textId="6FA6802B" w:rsidR="00476290" w:rsidRPr="00476290" w:rsidRDefault="00476290" w:rsidP="00476290">
            <w:pPr>
              <w:numPr>
                <w:ilvl w:val="0"/>
                <w:numId w:val="1"/>
              </w:numPr>
              <w:tabs>
                <w:tab w:val="left" w:pos="59"/>
                <w:tab w:val="left" w:pos="319"/>
              </w:tabs>
              <w:spacing w:after="0" w:line="240" w:lineRule="auto"/>
              <w:ind w:left="36" w:firstLine="23"/>
              <w:contextualSpacing/>
              <w:rPr>
                <w:rFonts w:ascii="Times New Roman" w:eastAsia="Times New Roman" w:hAnsi="Times New Roman" w:cs="Arial"/>
                <w:kern w:val="0"/>
                <w:sz w:val="18"/>
                <w:szCs w:val="18"/>
                <w14:ligatures w14:val="none"/>
              </w:rPr>
            </w:pPr>
            <w:r w:rsidRPr="00476290">
              <w:rPr>
                <w:rFonts w:ascii="Times New Roman" w:eastAsia="Times New Roman" w:hAnsi="Times New Roman" w:cs="Arial"/>
                <w:kern w:val="0"/>
                <w:sz w:val="18"/>
                <w:szCs w:val="18"/>
                <w14:ligatures w14:val="none"/>
              </w:rPr>
              <w:t xml:space="preserve">Programmnodrošinājums MS2070A PC </w:t>
            </w:r>
            <w:proofErr w:type="spellStart"/>
            <w:r w:rsidRPr="00476290">
              <w:rPr>
                <w:rFonts w:ascii="Times New Roman" w:eastAsia="Times New Roman" w:hAnsi="Times New Roman" w:cs="Arial"/>
                <w:kern w:val="0"/>
                <w:sz w:val="18"/>
                <w:szCs w:val="18"/>
                <w14:ligatures w14:val="none"/>
              </w:rPr>
              <w:t>Remote</w:t>
            </w:r>
            <w:proofErr w:type="spellEnd"/>
            <w:r w:rsidRPr="00476290">
              <w:rPr>
                <w:rFonts w:ascii="Times New Roman" w:eastAsia="Times New Roman" w:hAnsi="Times New Roman" w:cs="Arial"/>
                <w:kern w:val="0"/>
                <w:sz w:val="18"/>
                <w:szCs w:val="18"/>
                <w14:ligatures w14:val="none"/>
              </w:rPr>
              <w:t xml:space="preserve"> User Interface;</w:t>
            </w:r>
          </w:p>
          <w:p w14:paraId="2C94DE24" w14:textId="6620ECBB" w:rsidR="00476290" w:rsidRPr="00476290" w:rsidRDefault="00476290" w:rsidP="00476290">
            <w:pPr>
              <w:numPr>
                <w:ilvl w:val="0"/>
                <w:numId w:val="1"/>
              </w:numPr>
              <w:tabs>
                <w:tab w:val="left" w:pos="59"/>
                <w:tab w:val="left" w:pos="319"/>
              </w:tabs>
              <w:spacing w:after="0" w:line="240" w:lineRule="auto"/>
              <w:ind w:left="36" w:firstLine="23"/>
              <w:contextualSpacing/>
              <w:rPr>
                <w:rFonts w:ascii="Times New Roman" w:eastAsia="Times New Roman" w:hAnsi="Times New Roman" w:cs="Arial"/>
                <w:kern w:val="0"/>
                <w:sz w:val="18"/>
                <w:szCs w:val="18"/>
                <w14:ligatures w14:val="none"/>
              </w:rPr>
            </w:pPr>
            <w:r w:rsidRPr="00476290">
              <w:rPr>
                <w:rFonts w:ascii="Times New Roman" w:eastAsia="Times New Roman" w:hAnsi="Times New Roman" w:cs="Arial"/>
                <w:kern w:val="0"/>
                <w:sz w:val="18"/>
                <w:szCs w:val="18"/>
                <w14:ligatures w14:val="none"/>
              </w:rPr>
              <w:t xml:space="preserve"> GPS uztvērējs MS2070A-0031 </w:t>
            </w:r>
          </w:p>
          <w:p w14:paraId="661AE0B8" w14:textId="1EFE8C67" w:rsidR="00476290" w:rsidRPr="00476290" w:rsidRDefault="00476290" w:rsidP="00476290">
            <w:pPr>
              <w:numPr>
                <w:ilvl w:val="0"/>
                <w:numId w:val="1"/>
              </w:numPr>
              <w:tabs>
                <w:tab w:val="left" w:pos="59"/>
                <w:tab w:val="left" w:pos="319"/>
              </w:tabs>
              <w:spacing w:after="0" w:line="240" w:lineRule="auto"/>
              <w:ind w:left="36" w:firstLine="23"/>
              <w:contextualSpacing/>
              <w:rPr>
                <w:rFonts w:ascii="Times New Roman" w:eastAsia="Times New Roman" w:hAnsi="Times New Roman" w:cs="Arial"/>
                <w:kern w:val="0"/>
                <w:sz w:val="18"/>
                <w:szCs w:val="18"/>
                <w14:ligatures w14:val="none"/>
              </w:rPr>
            </w:pPr>
            <w:r w:rsidRPr="00476290">
              <w:rPr>
                <w:rFonts w:ascii="Times New Roman" w:eastAsia="Times New Roman" w:hAnsi="Times New Roman" w:cs="Arial"/>
                <w:kern w:val="0"/>
                <w:sz w:val="18"/>
                <w:szCs w:val="18"/>
                <w14:ligatures w14:val="none"/>
              </w:rPr>
              <w:t xml:space="preserve"> GPS antena  2000-1528-R </w:t>
            </w:r>
          </w:p>
          <w:p w14:paraId="302BE449" w14:textId="258AA704" w:rsidR="00476290" w:rsidRPr="00476290" w:rsidRDefault="00476290" w:rsidP="00476290">
            <w:pPr>
              <w:numPr>
                <w:ilvl w:val="0"/>
                <w:numId w:val="1"/>
              </w:numPr>
              <w:tabs>
                <w:tab w:val="left" w:pos="59"/>
                <w:tab w:val="left" w:pos="319"/>
              </w:tabs>
              <w:spacing w:after="0" w:line="240" w:lineRule="auto"/>
              <w:ind w:left="36" w:firstLine="23"/>
              <w:contextualSpacing/>
              <w:rPr>
                <w:rFonts w:ascii="Times New Roman" w:eastAsia="Times New Roman" w:hAnsi="Times New Roman" w:cs="Arial"/>
                <w:kern w:val="0"/>
                <w:sz w:val="18"/>
                <w:szCs w:val="18"/>
                <w14:ligatures w14:val="none"/>
              </w:rPr>
            </w:pPr>
            <w:r w:rsidRPr="00476290">
              <w:rPr>
                <w:rFonts w:ascii="Times New Roman" w:eastAsia="Times New Roman" w:hAnsi="Times New Roman" w:cs="Arial"/>
                <w:kern w:val="0"/>
                <w:sz w:val="18"/>
                <w:szCs w:val="18"/>
                <w14:ligatures w14:val="none"/>
              </w:rPr>
              <w:t>Ražotāja izdotais kalibrēšanas sertifikāts</w:t>
            </w:r>
          </w:p>
          <w:p w14:paraId="10930947" w14:textId="1EE19E83" w:rsidR="00476290" w:rsidRPr="0053711D" w:rsidRDefault="00476290" w:rsidP="00476290">
            <w:pPr>
              <w:numPr>
                <w:ilvl w:val="0"/>
                <w:numId w:val="1"/>
              </w:numPr>
              <w:tabs>
                <w:tab w:val="left" w:pos="59"/>
                <w:tab w:val="left" w:pos="319"/>
              </w:tabs>
              <w:spacing w:after="0" w:line="240" w:lineRule="auto"/>
              <w:ind w:left="36" w:firstLine="23"/>
              <w:contextualSpacing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  <w:r w:rsidRPr="00476290">
              <w:rPr>
                <w:rFonts w:ascii="Times New Roman" w:eastAsia="Times New Roman" w:hAnsi="Times New Roman" w:cs="Arial"/>
                <w:kern w:val="0"/>
                <w:sz w:val="18"/>
                <w:szCs w:val="18"/>
                <w14:ligatures w14:val="none"/>
              </w:rPr>
              <w:t xml:space="preserve">Opcija MS2070A-0703; </w:t>
            </w:r>
            <w:proofErr w:type="spellStart"/>
            <w:r w:rsidRPr="00476290">
              <w:rPr>
                <w:rFonts w:ascii="Times New Roman" w:eastAsia="Times New Roman" w:hAnsi="Times New Roman" w:cs="Arial"/>
                <w:kern w:val="0"/>
                <w:sz w:val="18"/>
                <w:szCs w:val="18"/>
                <w14:ligatures w14:val="none"/>
              </w:rPr>
              <w:t>Option</w:t>
            </w:r>
            <w:proofErr w:type="spellEnd"/>
            <w:r w:rsidRPr="00476290">
              <w:rPr>
                <w:rFonts w:ascii="Times New Roman" w:eastAsia="Times New Roman" w:hAnsi="Times New Roman" w:cs="Arial"/>
                <w:kern w:val="0"/>
                <w:sz w:val="18"/>
                <w:szCs w:val="18"/>
                <w14:ligatures w14:val="none"/>
              </w:rPr>
              <w:t xml:space="preserve"> 703, </w:t>
            </w:r>
            <w:proofErr w:type="spellStart"/>
            <w:r w:rsidRPr="00476290">
              <w:rPr>
                <w:rFonts w:ascii="Times New Roman" w:eastAsia="Times New Roman" w:hAnsi="Times New Roman" w:cs="Arial"/>
                <w:kern w:val="0"/>
                <w:sz w:val="18"/>
                <w:szCs w:val="18"/>
                <w14:ligatures w14:val="none"/>
              </w:rPr>
              <w:t>Frequency</w:t>
            </w:r>
            <w:proofErr w:type="spellEnd"/>
            <w:r w:rsidRPr="00476290">
              <w:rPr>
                <w:rFonts w:ascii="Times New Roman" w:eastAsia="Times New Roman" w:hAnsi="Times New Roman" w:cs="Arial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76290">
              <w:rPr>
                <w:rFonts w:ascii="Times New Roman" w:eastAsia="Times New Roman" w:hAnsi="Times New Roman" w:cs="Arial"/>
                <w:kern w:val="0"/>
                <w:sz w:val="18"/>
                <w:szCs w:val="18"/>
                <w14:ligatures w14:val="none"/>
              </w:rPr>
              <w:t>Range</w:t>
            </w:r>
            <w:proofErr w:type="spellEnd"/>
            <w:r w:rsidRPr="00476290">
              <w:rPr>
                <w:rFonts w:ascii="Times New Roman" w:eastAsia="Times New Roman" w:hAnsi="Times New Roman" w:cs="Arial"/>
                <w:kern w:val="0"/>
                <w:sz w:val="18"/>
                <w:szCs w:val="18"/>
                <w14:ligatures w14:val="none"/>
              </w:rPr>
              <w:t xml:space="preserve"> 9 </w:t>
            </w:r>
            <w:proofErr w:type="spellStart"/>
            <w:r w:rsidRPr="00476290">
              <w:rPr>
                <w:rFonts w:ascii="Times New Roman" w:eastAsia="Times New Roman" w:hAnsi="Times New Roman" w:cs="Arial"/>
                <w:kern w:val="0"/>
                <w:sz w:val="18"/>
                <w:szCs w:val="18"/>
                <w14:ligatures w14:val="none"/>
              </w:rPr>
              <w:t>kHz</w:t>
            </w:r>
            <w:proofErr w:type="spellEnd"/>
            <w:r w:rsidRPr="00476290">
              <w:rPr>
                <w:rFonts w:ascii="Times New Roman" w:eastAsia="Times New Roman" w:hAnsi="Times New Roman" w:cs="Arial"/>
                <w:kern w:val="0"/>
                <w:sz w:val="18"/>
                <w:szCs w:val="18"/>
                <w14:ligatures w14:val="none"/>
              </w:rPr>
              <w:t xml:space="preserve"> to 3 GHz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A4F5" w14:textId="77777777" w:rsidR="00476290" w:rsidRPr="0053711D" w:rsidRDefault="00476290" w:rsidP="0047629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color w:val="000000"/>
                <w:kern w:val="0"/>
                <w:sz w:val="18"/>
                <w:szCs w:val="18"/>
                <w14:ligatures w14:val="none"/>
              </w:rPr>
              <w:t>gab.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45BD" w14:textId="77777777" w:rsidR="00476290" w:rsidRPr="0053711D" w:rsidRDefault="00476290" w:rsidP="0047629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color w:val="833C0C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02B84" w14:textId="77777777" w:rsidR="00476290" w:rsidRPr="0053711D" w:rsidRDefault="00476290" w:rsidP="0047629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color w:val="833C0C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4837" w14:textId="77777777" w:rsidR="00476290" w:rsidRPr="0053711D" w:rsidRDefault="00476290" w:rsidP="0047629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b/>
                <w:bCs/>
                <w:color w:val="548235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3C9109D" w14:textId="77777777" w:rsidR="00476290" w:rsidRPr="0053711D" w:rsidRDefault="00476290" w:rsidP="0047629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lv-LV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b/>
                <w:bCs/>
                <w:color w:val="203764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38F3E71" w14:textId="77777777" w:rsidR="00476290" w:rsidRPr="0053711D" w:rsidRDefault="00476290" w:rsidP="0047629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3711D">
              <w:rPr>
                <w:rFonts w:ascii="Times New Roman" w:eastAsia="Times New Roman" w:hAnsi="Times New Roman" w:cs="Arial"/>
                <w:b/>
                <w:bCs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5B1BA4" w14:textId="77777777" w:rsidR="00476290" w:rsidRPr="0053711D" w:rsidRDefault="00476290" w:rsidP="0047629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402AF6" w14:textId="77777777" w:rsidR="00476290" w:rsidRPr="0053711D" w:rsidRDefault="00476290" w:rsidP="0047629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6C9374E3" w14:textId="77777777" w:rsidR="0053711D" w:rsidRPr="0053711D" w:rsidRDefault="0053711D" w:rsidP="0053711D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4D78912" w14:textId="77777777" w:rsidR="00F62EBD" w:rsidRPr="00F62EBD" w:rsidRDefault="00F62EBD" w:rsidP="00F62EBD"/>
    <w:p w14:paraId="47344BD3" w14:textId="77777777" w:rsidR="0001203D" w:rsidRDefault="0001203D"/>
    <w:sectPr w:rsidR="0001203D" w:rsidSect="0053711D">
      <w:footerReference w:type="even" r:id="rId7"/>
      <w:footerReference w:type="default" r:id="rId8"/>
      <w:pgSz w:w="15840" w:h="12240" w:orient="landscape" w:code="1"/>
      <w:pgMar w:top="1701" w:right="1134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CD6F7" w14:textId="77777777" w:rsidR="00812CC8" w:rsidRDefault="00812CC8" w:rsidP="00F62EBD">
      <w:pPr>
        <w:spacing w:after="0" w:line="240" w:lineRule="auto"/>
      </w:pPr>
      <w:r>
        <w:separator/>
      </w:r>
    </w:p>
  </w:endnote>
  <w:endnote w:type="continuationSeparator" w:id="0">
    <w:p w14:paraId="6F4F2829" w14:textId="77777777" w:rsidR="00812CC8" w:rsidRDefault="00812CC8" w:rsidP="00F6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CD8E7" w14:textId="77777777" w:rsidR="00354DFD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199F980" w14:textId="77777777" w:rsidR="00354DFD" w:rsidRDefault="00354D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54041" w14:textId="07D24DDA" w:rsidR="00354DFD" w:rsidRPr="00CB2C4F" w:rsidRDefault="00000000" w:rsidP="00476290">
    <w:pPr>
      <w:pStyle w:val="Footer"/>
      <w:jc w:val="center"/>
      <w:rPr>
        <w:rFonts w:ascii="Arial" w:hAnsi="Arial" w:cs="Arial"/>
      </w:rPr>
    </w:pPr>
    <w:r w:rsidRPr="00476290">
      <w:rPr>
        <w:rFonts w:ascii="Arial" w:hAnsi="Arial" w:cs="Arial"/>
        <w:sz w:val="16"/>
        <w:szCs w:val="16"/>
      </w:rPr>
      <w:fldChar w:fldCharType="begin"/>
    </w:r>
    <w:r w:rsidRPr="00476290">
      <w:rPr>
        <w:rFonts w:ascii="Arial" w:hAnsi="Arial" w:cs="Arial"/>
        <w:sz w:val="16"/>
        <w:szCs w:val="16"/>
      </w:rPr>
      <w:instrText xml:space="preserve"> PAGE   \* MERGEFORMAT </w:instrText>
    </w:r>
    <w:r w:rsidRPr="00476290">
      <w:rPr>
        <w:rFonts w:ascii="Arial" w:hAnsi="Arial" w:cs="Arial"/>
        <w:sz w:val="16"/>
        <w:szCs w:val="16"/>
      </w:rPr>
      <w:fldChar w:fldCharType="separate"/>
    </w:r>
    <w:r w:rsidRPr="00476290">
      <w:rPr>
        <w:rFonts w:ascii="Arial" w:hAnsi="Arial" w:cs="Arial"/>
        <w:noProof/>
        <w:sz w:val="16"/>
        <w:szCs w:val="16"/>
      </w:rPr>
      <w:t>1</w:t>
    </w:r>
    <w:r w:rsidRPr="00476290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AADEC" w14:textId="77777777" w:rsidR="00812CC8" w:rsidRDefault="00812CC8" w:rsidP="00F62EBD">
      <w:pPr>
        <w:spacing w:after="0" w:line="240" w:lineRule="auto"/>
      </w:pPr>
      <w:r>
        <w:separator/>
      </w:r>
    </w:p>
  </w:footnote>
  <w:footnote w:type="continuationSeparator" w:id="0">
    <w:p w14:paraId="2BC1C5FD" w14:textId="77777777" w:rsidR="00812CC8" w:rsidRDefault="00812CC8" w:rsidP="00F62EBD">
      <w:pPr>
        <w:spacing w:after="0" w:line="240" w:lineRule="auto"/>
      </w:pPr>
      <w:r>
        <w:continuationSeparator/>
      </w:r>
    </w:p>
  </w:footnote>
  <w:footnote w:id="1">
    <w:p w14:paraId="44310A35" w14:textId="77777777" w:rsidR="0053711D" w:rsidRPr="00911123" w:rsidRDefault="0053711D" w:rsidP="0053711D">
      <w:pPr>
        <w:pStyle w:val="FootnoteText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footnoteRef/>
      </w:r>
      <w:r w:rsidRPr="00C90A9E">
        <w:t xml:space="preserve"> </w:t>
      </w:r>
      <w:r w:rsidRPr="00C90A9E">
        <w:rPr>
          <w:rFonts w:ascii="Arial" w:hAnsi="Arial" w:cs="Arial"/>
          <w:sz w:val="16"/>
          <w:szCs w:val="16"/>
        </w:rPr>
        <w:t xml:space="preserve">Iesniedzot piedāvājumu atsevišķās </w:t>
      </w:r>
      <w:r w:rsidRPr="00911123">
        <w:rPr>
          <w:rFonts w:ascii="Arial" w:hAnsi="Arial" w:cs="Arial"/>
          <w:sz w:val="16"/>
          <w:szCs w:val="16"/>
        </w:rPr>
        <w:t xml:space="preserve">daļās, Finanšu piedāvājuma tabulā nepārprotamībai un skaidrībai norādāma sarunu procedūras priekšmeta daļu numerācija atbilstoši numerācijai Tehniskajā specifikācijā </w:t>
      </w:r>
    </w:p>
  </w:footnote>
  <w:footnote w:id="2">
    <w:p w14:paraId="286176FC" w14:textId="77777777" w:rsidR="0053711D" w:rsidRPr="00D12749" w:rsidRDefault="0053711D" w:rsidP="0053711D">
      <w:pPr>
        <w:pStyle w:val="FootnoteText"/>
        <w:rPr>
          <w:rFonts w:ascii="Arial" w:hAnsi="Arial" w:cs="Arial"/>
          <w:sz w:val="16"/>
          <w:szCs w:val="16"/>
        </w:rPr>
      </w:pPr>
      <w:r w:rsidRPr="00911123">
        <w:rPr>
          <w:rStyle w:val="FootnoteReference"/>
          <w:rFonts w:ascii="Arial" w:hAnsi="Arial" w:cs="Arial"/>
          <w:sz w:val="16"/>
          <w:szCs w:val="16"/>
        </w:rPr>
        <w:footnoteRef/>
      </w:r>
      <w:r w:rsidRPr="00911123">
        <w:rPr>
          <w:rFonts w:ascii="Arial" w:hAnsi="Arial" w:cs="Arial"/>
          <w:sz w:val="16"/>
          <w:szCs w:val="16"/>
        </w:rPr>
        <w:t xml:space="preserve"> Pretendents var </w:t>
      </w:r>
      <w:r w:rsidRPr="00D12749">
        <w:rPr>
          <w:rFonts w:ascii="Arial" w:hAnsi="Arial" w:cs="Arial"/>
          <w:sz w:val="16"/>
          <w:szCs w:val="16"/>
        </w:rPr>
        <w:t xml:space="preserve">norādīt arī ekvivalentu preci, ievērojot nolikuma nosacījumus. </w:t>
      </w:r>
    </w:p>
  </w:footnote>
  <w:footnote w:id="3">
    <w:p w14:paraId="3E1E7252" w14:textId="77777777" w:rsidR="0053711D" w:rsidRPr="00D12749" w:rsidRDefault="0053711D" w:rsidP="0053711D">
      <w:pPr>
        <w:pStyle w:val="FootnoteText"/>
        <w:rPr>
          <w:rFonts w:ascii="Arial" w:hAnsi="Arial" w:cs="Arial"/>
          <w:sz w:val="16"/>
          <w:szCs w:val="16"/>
        </w:rPr>
      </w:pPr>
      <w:r w:rsidRPr="00D12749">
        <w:rPr>
          <w:rStyle w:val="FootnoteReference"/>
          <w:rFonts w:ascii="Arial" w:hAnsi="Arial" w:cs="Arial"/>
          <w:sz w:val="16"/>
          <w:szCs w:val="16"/>
        </w:rPr>
        <w:footnoteRef/>
      </w:r>
      <w:r w:rsidRPr="00D12749">
        <w:rPr>
          <w:rFonts w:ascii="Arial" w:hAnsi="Arial" w:cs="Arial"/>
          <w:sz w:val="16"/>
          <w:szCs w:val="16"/>
        </w:rPr>
        <w:t xml:space="preserve"> Jānorāda piedāvātās preces precīzo komplektāciju, to aprakstu un daudzumu tādā apmērā un kvalitātē, lai pasūtītājam būtu nepārprotami iespēja pārliecināties par piedāvājuma atbilstību  Tehniskās specifikācijas prasībām.</w:t>
      </w:r>
    </w:p>
  </w:footnote>
  <w:footnote w:id="4">
    <w:p w14:paraId="31148649" w14:textId="0711F941" w:rsidR="0053711D" w:rsidRPr="00F478DA" w:rsidRDefault="0053711D" w:rsidP="0053711D">
      <w:pPr>
        <w:pStyle w:val="FootnoteText"/>
      </w:pPr>
      <w:r w:rsidRPr="00D12749">
        <w:rPr>
          <w:rStyle w:val="FootnoteReference"/>
          <w:rFonts w:ascii="Arial" w:hAnsi="Arial" w:cs="Arial"/>
          <w:sz w:val="16"/>
          <w:szCs w:val="16"/>
        </w:rPr>
        <w:footnoteRef/>
      </w:r>
      <w:r w:rsidR="00476290">
        <w:rPr>
          <w:rFonts w:ascii="Arial" w:hAnsi="Arial" w:cs="Arial"/>
          <w:sz w:val="16"/>
          <w:szCs w:val="16"/>
        </w:rPr>
        <w:t xml:space="preserve"> Pasūtītājs veic padziļinātu piedāvājuma </w:t>
      </w:r>
      <w:proofErr w:type="spellStart"/>
      <w:r w:rsidR="00476290">
        <w:rPr>
          <w:rFonts w:ascii="Arial" w:hAnsi="Arial" w:cs="Arial"/>
          <w:sz w:val="16"/>
          <w:szCs w:val="16"/>
        </w:rPr>
        <w:t>izvērtējumu</w:t>
      </w:r>
      <w:proofErr w:type="spellEnd"/>
      <w:r w:rsidR="00476290">
        <w:rPr>
          <w:rFonts w:ascii="Arial" w:hAnsi="Arial" w:cs="Arial"/>
          <w:sz w:val="16"/>
          <w:szCs w:val="16"/>
        </w:rPr>
        <w:t xml:space="preserve">, tai skaitā, visu spektru risku </w:t>
      </w:r>
      <w:proofErr w:type="spellStart"/>
      <w:r w:rsidR="00476290">
        <w:rPr>
          <w:rFonts w:ascii="Arial" w:hAnsi="Arial" w:cs="Arial"/>
          <w:sz w:val="16"/>
          <w:szCs w:val="16"/>
        </w:rPr>
        <w:t>izvērtējumu</w:t>
      </w:r>
      <w:proofErr w:type="spellEnd"/>
      <w:r w:rsidR="00476290">
        <w:rPr>
          <w:rFonts w:ascii="Arial" w:hAnsi="Arial" w:cs="Arial"/>
          <w:sz w:val="16"/>
          <w:szCs w:val="16"/>
        </w:rPr>
        <w:t>, ja piedāvājums satur preces, kuru izcelsmes valsts ir Krievijas Federācija vai Baltkrievijas Republika (attiecināms uz precēm, to izejvielām (izejmateriāliem), kas nav pakļautas starptautiskajām ekonomiskajām sankcijām).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2EE2"/>
    <w:multiLevelType w:val="hybridMultilevel"/>
    <w:tmpl w:val="703ACC2A"/>
    <w:lvl w:ilvl="0" w:tplc="6DB8B0FE">
      <w:start w:val="1"/>
      <w:numFmt w:val="decimal"/>
      <w:lvlText w:val="%1)"/>
      <w:lvlJc w:val="left"/>
      <w:pPr>
        <w:ind w:left="41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39" w:hanging="360"/>
      </w:pPr>
    </w:lvl>
    <w:lvl w:ilvl="2" w:tplc="0426001B" w:tentative="1">
      <w:start w:val="1"/>
      <w:numFmt w:val="lowerRoman"/>
      <w:lvlText w:val="%3."/>
      <w:lvlJc w:val="right"/>
      <w:pPr>
        <w:ind w:left="1859" w:hanging="180"/>
      </w:pPr>
    </w:lvl>
    <w:lvl w:ilvl="3" w:tplc="0426000F" w:tentative="1">
      <w:start w:val="1"/>
      <w:numFmt w:val="decimal"/>
      <w:lvlText w:val="%4."/>
      <w:lvlJc w:val="left"/>
      <w:pPr>
        <w:ind w:left="2579" w:hanging="360"/>
      </w:pPr>
    </w:lvl>
    <w:lvl w:ilvl="4" w:tplc="04260019" w:tentative="1">
      <w:start w:val="1"/>
      <w:numFmt w:val="lowerLetter"/>
      <w:lvlText w:val="%5."/>
      <w:lvlJc w:val="left"/>
      <w:pPr>
        <w:ind w:left="3299" w:hanging="360"/>
      </w:pPr>
    </w:lvl>
    <w:lvl w:ilvl="5" w:tplc="0426001B" w:tentative="1">
      <w:start w:val="1"/>
      <w:numFmt w:val="lowerRoman"/>
      <w:lvlText w:val="%6."/>
      <w:lvlJc w:val="right"/>
      <w:pPr>
        <w:ind w:left="4019" w:hanging="180"/>
      </w:pPr>
    </w:lvl>
    <w:lvl w:ilvl="6" w:tplc="0426000F" w:tentative="1">
      <w:start w:val="1"/>
      <w:numFmt w:val="decimal"/>
      <w:lvlText w:val="%7."/>
      <w:lvlJc w:val="left"/>
      <w:pPr>
        <w:ind w:left="4739" w:hanging="360"/>
      </w:pPr>
    </w:lvl>
    <w:lvl w:ilvl="7" w:tplc="04260019" w:tentative="1">
      <w:start w:val="1"/>
      <w:numFmt w:val="lowerLetter"/>
      <w:lvlText w:val="%8."/>
      <w:lvlJc w:val="left"/>
      <w:pPr>
        <w:ind w:left="5459" w:hanging="360"/>
      </w:pPr>
    </w:lvl>
    <w:lvl w:ilvl="8" w:tplc="0426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" w15:restartNumberingAfterBreak="0">
    <w:nsid w:val="3671460F"/>
    <w:multiLevelType w:val="hybridMultilevel"/>
    <w:tmpl w:val="029A3D2E"/>
    <w:lvl w:ilvl="0" w:tplc="D4BA84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D7DF1"/>
    <w:multiLevelType w:val="hybridMultilevel"/>
    <w:tmpl w:val="F4A60BF0"/>
    <w:lvl w:ilvl="0" w:tplc="0426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90E90"/>
    <w:multiLevelType w:val="hybridMultilevel"/>
    <w:tmpl w:val="4B36A9B8"/>
    <w:lvl w:ilvl="0" w:tplc="DEC85006">
      <w:start w:val="11"/>
      <w:numFmt w:val="decimal"/>
      <w:lvlText w:val="%1)"/>
      <w:lvlJc w:val="left"/>
      <w:pPr>
        <w:ind w:left="41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39" w:hanging="360"/>
      </w:pPr>
    </w:lvl>
    <w:lvl w:ilvl="2" w:tplc="0426001B" w:tentative="1">
      <w:start w:val="1"/>
      <w:numFmt w:val="lowerRoman"/>
      <w:lvlText w:val="%3."/>
      <w:lvlJc w:val="right"/>
      <w:pPr>
        <w:ind w:left="1859" w:hanging="180"/>
      </w:pPr>
    </w:lvl>
    <w:lvl w:ilvl="3" w:tplc="0426000F" w:tentative="1">
      <w:start w:val="1"/>
      <w:numFmt w:val="decimal"/>
      <w:lvlText w:val="%4."/>
      <w:lvlJc w:val="left"/>
      <w:pPr>
        <w:ind w:left="2579" w:hanging="360"/>
      </w:pPr>
    </w:lvl>
    <w:lvl w:ilvl="4" w:tplc="04260019" w:tentative="1">
      <w:start w:val="1"/>
      <w:numFmt w:val="lowerLetter"/>
      <w:lvlText w:val="%5."/>
      <w:lvlJc w:val="left"/>
      <w:pPr>
        <w:ind w:left="3299" w:hanging="360"/>
      </w:pPr>
    </w:lvl>
    <w:lvl w:ilvl="5" w:tplc="0426001B" w:tentative="1">
      <w:start w:val="1"/>
      <w:numFmt w:val="lowerRoman"/>
      <w:lvlText w:val="%6."/>
      <w:lvlJc w:val="right"/>
      <w:pPr>
        <w:ind w:left="4019" w:hanging="180"/>
      </w:pPr>
    </w:lvl>
    <w:lvl w:ilvl="6" w:tplc="0426000F" w:tentative="1">
      <w:start w:val="1"/>
      <w:numFmt w:val="decimal"/>
      <w:lvlText w:val="%7."/>
      <w:lvlJc w:val="left"/>
      <w:pPr>
        <w:ind w:left="4739" w:hanging="360"/>
      </w:pPr>
    </w:lvl>
    <w:lvl w:ilvl="7" w:tplc="04260019" w:tentative="1">
      <w:start w:val="1"/>
      <w:numFmt w:val="lowerLetter"/>
      <w:lvlText w:val="%8."/>
      <w:lvlJc w:val="left"/>
      <w:pPr>
        <w:ind w:left="5459" w:hanging="360"/>
      </w:pPr>
    </w:lvl>
    <w:lvl w:ilvl="8" w:tplc="0426001B" w:tentative="1">
      <w:start w:val="1"/>
      <w:numFmt w:val="lowerRoman"/>
      <w:lvlText w:val="%9."/>
      <w:lvlJc w:val="right"/>
      <w:pPr>
        <w:ind w:left="6179" w:hanging="180"/>
      </w:pPr>
    </w:lvl>
  </w:abstractNum>
  <w:num w:numId="1" w16cid:durableId="1409232233">
    <w:abstractNumId w:val="0"/>
  </w:num>
  <w:num w:numId="2" w16cid:durableId="617874230">
    <w:abstractNumId w:val="3"/>
  </w:num>
  <w:num w:numId="3" w16cid:durableId="477649708">
    <w:abstractNumId w:val="1"/>
  </w:num>
  <w:num w:numId="4" w16cid:durableId="776143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BD"/>
    <w:rsid w:val="0001203D"/>
    <w:rsid w:val="00354DFD"/>
    <w:rsid w:val="00476290"/>
    <w:rsid w:val="00532781"/>
    <w:rsid w:val="0053711D"/>
    <w:rsid w:val="006511FC"/>
    <w:rsid w:val="0066382C"/>
    <w:rsid w:val="00812CC8"/>
    <w:rsid w:val="00863554"/>
    <w:rsid w:val="00DF1E95"/>
    <w:rsid w:val="00F6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31D233"/>
  <w15:chartTrackingRefBased/>
  <w15:docId w15:val="{156C6BAA-3FC2-4EB2-8750-E53BBBB4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62E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2EB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62E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EBD"/>
  </w:style>
  <w:style w:type="character" w:styleId="PageNumber">
    <w:name w:val="page number"/>
    <w:basedOn w:val="DefaultParagraphFont"/>
    <w:rsid w:val="00F62EBD"/>
  </w:style>
  <w:style w:type="character" w:styleId="FootnoteReference">
    <w:name w:val="footnote reference"/>
    <w:rsid w:val="00F62EB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62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2E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EBD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3711D"/>
    <w:pPr>
      <w:ind w:left="720"/>
      <w:contextualSpacing/>
    </w:pPr>
  </w:style>
  <w:style w:type="character" w:customStyle="1" w:styleId="cf01">
    <w:name w:val="cf01"/>
    <w:basedOn w:val="DefaultParagraphFont"/>
    <w:rsid w:val="0053711D"/>
    <w:rPr>
      <w:rFonts w:ascii="Segoe UI" w:hAnsi="Segoe UI" w:cs="Segoe UI" w:hint="default"/>
      <w:sz w:val="18"/>
      <w:szCs w:val="18"/>
      <w:shd w:val="clear" w:color="auto" w:fill="FFFF00"/>
    </w:rPr>
  </w:style>
  <w:style w:type="paragraph" w:styleId="Header">
    <w:name w:val="header"/>
    <w:basedOn w:val="Normal"/>
    <w:link w:val="HeaderChar"/>
    <w:uiPriority w:val="99"/>
    <w:unhideWhenUsed/>
    <w:rsid w:val="004762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290"/>
  </w:style>
  <w:style w:type="paragraph" w:styleId="Revision">
    <w:name w:val="Revision"/>
    <w:hidden/>
    <w:uiPriority w:val="99"/>
    <w:semiHidden/>
    <w:rsid w:val="00651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1329</Words>
  <Characters>758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Kārkle</dc:creator>
  <cp:keywords/>
  <dc:description/>
  <cp:lastModifiedBy>Dace Kārkle</cp:lastModifiedBy>
  <cp:revision>2</cp:revision>
  <dcterms:created xsi:type="dcterms:W3CDTF">2024-07-22T10:24:00Z</dcterms:created>
  <dcterms:modified xsi:type="dcterms:W3CDTF">2024-07-22T10:24:00Z</dcterms:modified>
</cp:coreProperties>
</file>