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AA56" w14:textId="77777777" w:rsidR="00B27188" w:rsidRPr="00E62F0E" w:rsidRDefault="00B27188" w:rsidP="00B271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</w:pPr>
      <w:r w:rsidRPr="00E62F0E"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  <w:t>APSTIPRINĀTS</w:t>
      </w:r>
    </w:p>
    <w:p w14:paraId="760F8406" w14:textId="77777777" w:rsidR="00B27188" w:rsidRPr="00E62F0E" w:rsidRDefault="00B27188" w:rsidP="00B271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</w:pPr>
      <w:r w:rsidRPr="00E62F0E"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  <w:t>ar VAS “Latvijas dzelzceļš” iepirkuma komisijas</w:t>
      </w:r>
    </w:p>
    <w:p w14:paraId="4C48D1C4" w14:textId="77777777" w:rsidR="00B27188" w:rsidRPr="00E62F0E" w:rsidRDefault="00B27188" w:rsidP="00B271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  <w:lang w:bidi="lo-LA"/>
          <w14:ligatures w14:val="none"/>
        </w:rPr>
      </w:pPr>
      <w:r>
        <w:rPr>
          <w:rFonts w:ascii="Arial" w:hAnsi="Arial" w:cs="Arial"/>
          <w:kern w:val="0"/>
          <w:sz w:val="20"/>
          <w:szCs w:val="20"/>
          <w:lang w:bidi="lo-LA"/>
          <w14:ligatures w14:val="none"/>
        </w:rPr>
        <w:t>4</w:t>
      </w:r>
      <w:r w:rsidRPr="00E62F0E">
        <w:rPr>
          <w:rFonts w:ascii="Arial" w:hAnsi="Arial" w:cs="Arial"/>
          <w:kern w:val="0"/>
          <w:sz w:val="20"/>
          <w:szCs w:val="20"/>
          <w:lang w:bidi="lo-LA"/>
          <w14:ligatures w14:val="none"/>
        </w:rPr>
        <w:t>.sēdes protokolu</w:t>
      </w:r>
    </w:p>
    <w:p w14:paraId="20A42226" w14:textId="77777777" w:rsidR="00B27188" w:rsidRPr="00F5679C" w:rsidRDefault="00B27188" w:rsidP="00B27188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14:paraId="53BECC64" w14:textId="77777777" w:rsidR="00B27188" w:rsidRPr="001906DD" w:rsidRDefault="00B27188" w:rsidP="00B2718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1906DD">
        <w:rPr>
          <w:rFonts w:ascii="Arial" w:hAnsi="Arial" w:cs="Arial"/>
          <w:b/>
          <w:sz w:val="21"/>
          <w:szCs w:val="21"/>
        </w:rPr>
        <w:t>VAS “Latvijas dzelzceļš” organizētajā</w:t>
      </w:r>
    </w:p>
    <w:p w14:paraId="59B40832" w14:textId="77777777" w:rsidR="00B27188" w:rsidRPr="001906DD" w:rsidRDefault="00B27188" w:rsidP="00B27188">
      <w:pPr>
        <w:pStyle w:val="Title"/>
        <w:rPr>
          <w:rFonts w:ascii="Arial" w:hAnsi="Arial" w:cs="Arial"/>
          <w:b/>
          <w:sz w:val="21"/>
          <w:szCs w:val="21"/>
        </w:rPr>
      </w:pPr>
      <w:r w:rsidRPr="001906DD">
        <w:rPr>
          <w:rFonts w:ascii="Arial" w:hAnsi="Arial" w:cs="Arial"/>
          <w:b/>
          <w:sz w:val="21"/>
          <w:szCs w:val="21"/>
        </w:rPr>
        <w:t xml:space="preserve">sarunu procedūrā </w:t>
      </w:r>
      <w:r>
        <w:rPr>
          <w:rFonts w:ascii="Arial" w:hAnsi="Arial" w:cs="Arial"/>
          <w:b/>
          <w:sz w:val="21"/>
          <w:szCs w:val="21"/>
        </w:rPr>
        <w:t>ar</w:t>
      </w:r>
      <w:r w:rsidRPr="001906DD">
        <w:rPr>
          <w:rFonts w:ascii="Arial" w:hAnsi="Arial" w:cs="Arial"/>
          <w:b/>
          <w:sz w:val="21"/>
          <w:szCs w:val="21"/>
        </w:rPr>
        <w:t xml:space="preserve"> publikācij</w:t>
      </w:r>
      <w:r>
        <w:rPr>
          <w:rFonts w:ascii="Arial" w:hAnsi="Arial" w:cs="Arial"/>
          <w:b/>
          <w:sz w:val="21"/>
          <w:szCs w:val="21"/>
        </w:rPr>
        <w:t>u</w:t>
      </w:r>
      <w:r w:rsidRPr="001906DD">
        <w:rPr>
          <w:rFonts w:ascii="Arial" w:hAnsi="Arial" w:cs="Arial"/>
          <w:b/>
          <w:sz w:val="21"/>
          <w:szCs w:val="21"/>
        </w:rPr>
        <w:t xml:space="preserve"> “</w:t>
      </w:r>
      <w:r w:rsidRPr="00E25C7D">
        <w:rPr>
          <w:rFonts w:ascii="Arial" w:hAnsi="Arial" w:cs="Arial"/>
          <w:b/>
          <w:sz w:val="20"/>
          <w:lang w:val="pt-BR" w:eastAsia="lv-LV"/>
        </w:rPr>
        <w:t>Releju - procesoru centralizācijas sistēmas rezerves daļu piegāde</w:t>
      </w:r>
      <w:r w:rsidRPr="001906DD">
        <w:rPr>
          <w:rFonts w:ascii="Arial" w:hAnsi="Arial" w:cs="Arial"/>
          <w:b/>
          <w:sz w:val="21"/>
          <w:szCs w:val="21"/>
        </w:rPr>
        <w:t xml:space="preserve">”, </w:t>
      </w:r>
    </w:p>
    <w:p w14:paraId="6AAB4745" w14:textId="77777777" w:rsidR="00B27188" w:rsidRPr="001906DD" w:rsidRDefault="00B27188" w:rsidP="00B27188">
      <w:pPr>
        <w:pStyle w:val="Title"/>
        <w:rPr>
          <w:rFonts w:ascii="Arial" w:hAnsi="Arial" w:cs="Arial"/>
          <w:b/>
          <w:sz w:val="21"/>
          <w:szCs w:val="21"/>
        </w:rPr>
      </w:pPr>
      <w:r w:rsidRPr="001906DD">
        <w:rPr>
          <w:rFonts w:ascii="Arial" w:hAnsi="Arial" w:cs="Arial"/>
          <w:b/>
          <w:sz w:val="21"/>
          <w:szCs w:val="21"/>
        </w:rPr>
        <w:t>iepirkuma identifikācijas nr. LDZ 2024/</w:t>
      </w:r>
      <w:r>
        <w:rPr>
          <w:rFonts w:ascii="Arial" w:hAnsi="Arial" w:cs="Arial"/>
          <w:b/>
          <w:sz w:val="21"/>
          <w:szCs w:val="21"/>
        </w:rPr>
        <w:t>149-</w:t>
      </w:r>
      <w:r w:rsidRPr="001906DD">
        <w:rPr>
          <w:rFonts w:ascii="Arial" w:hAnsi="Arial" w:cs="Arial"/>
          <w:b/>
          <w:sz w:val="21"/>
          <w:szCs w:val="21"/>
        </w:rPr>
        <w:t>SPA</w:t>
      </w:r>
      <w:r>
        <w:rPr>
          <w:rFonts w:ascii="Arial" w:hAnsi="Arial" w:cs="Arial"/>
          <w:b/>
          <w:sz w:val="21"/>
          <w:szCs w:val="21"/>
        </w:rPr>
        <w:t>V</w:t>
      </w:r>
    </w:p>
    <w:p w14:paraId="47DA0B7E" w14:textId="77777777" w:rsidR="00B27188" w:rsidRPr="0045575B" w:rsidRDefault="00B27188" w:rsidP="00B27188">
      <w:pPr>
        <w:pStyle w:val="Heading1"/>
        <w:tabs>
          <w:tab w:val="left" w:pos="6946"/>
        </w:tabs>
        <w:jc w:val="center"/>
        <w:rPr>
          <w:rFonts w:ascii="Arial" w:hAnsi="Arial" w:cs="Arial"/>
          <w:b/>
          <w:color w:val="212121"/>
          <w:sz w:val="20"/>
          <w:shd w:val="clear" w:color="auto" w:fill="FFFFFF"/>
        </w:rPr>
      </w:pPr>
    </w:p>
    <w:p w14:paraId="12F7AA0E" w14:textId="77777777" w:rsidR="00B27188" w:rsidRPr="00F5679C" w:rsidRDefault="00B27188" w:rsidP="00B27188">
      <w:pPr>
        <w:jc w:val="center"/>
        <w:rPr>
          <w:rFonts w:ascii="Arial" w:hAnsi="Arial" w:cs="Arial"/>
          <w:b/>
          <w:bCs/>
        </w:rPr>
      </w:pPr>
    </w:p>
    <w:p w14:paraId="4243A74A" w14:textId="77777777" w:rsidR="00B27188" w:rsidRDefault="00B27188" w:rsidP="00B27188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 w:rsidRPr="00600C2F">
        <w:rPr>
          <w:rFonts w:ascii="Arial" w:hAnsi="Arial" w:cs="Arial"/>
          <w:bCs/>
          <w:sz w:val="20"/>
          <w:szCs w:val="20"/>
        </w:rPr>
        <w:t>(turpmāk – iepirkums)</w:t>
      </w:r>
    </w:p>
    <w:p w14:paraId="3875914F" w14:textId="77777777" w:rsidR="00B27188" w:rsidRDefault="00B27188" w:rsidP="00B27188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11544BDC" w14:textId="77777777" w:rsidR="00B27188" w:rsidRPr="00D074D8" w:rsidRDefault="00B27188" w:rsidP="00B27188">
      <w:pPr>
        <w:pStyle w:val="Default"/>
        <w:jc w:val="center"/>
        <w:rPr>
          <w:rFonts w:ascii="Arial" w:hAnsi="Arial" w:cs="Arial"/>
          <w:b/>
          <w:smallCaps/>
          <w:color w:val="auto"/>
          <w:sz w:val="20"/>
          <w:szCs w:val="20"/>
        </w:rPr>
      </w:pPr>
      <w:r w:rsidRPr="00D074D8">
        <w:rPr>
          <w:rFonts w:ascii="Arial" w:hAnsi="Arial" w:cs="Arial"/>
          <w:b/>
          <w:smallCaps/>
          <w:color w:val="auto"/>
          <w:sz w:val="20"/>
          <w:szCs w:val="20"/>
        </w:rPr>
        <w:t>Grozījumi Nr.</w:t>
      </w:r>
      <w:r>
        <w:rPr>
          <w:rFonts w:ascii="Arial" w:hAnsi="Arial" w:cs="Arial"/>
          <w:b/>
          <w:smallCaps/>
          <w:color w:val="auto"/>
          <w:sz w:val="20"/>
          <w:szCs w:val="20"/>
        </w:rPr>
        <w:t>2</w:t>
      </w:r>
    </w:p>
    <w:p w14:paraId="69EEE753" w14:textId="77777777" w:rsidR="00B27188" w:rsidRPr="00D074D8" w:rsidRDefault="00B27188" w:rsidP="00B27188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0D2D4208" w14:textId="77777777" w:rsidR="00B27188" w:rsidRDefault="00B27188" w:rsidP="00B27188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604CFC">
        <w:rPr>
          <w:rFonts w:ascii="Arial" w:hAnsi="Arial" w:cs="Arial"/>
          <w:bCs/>
          <w:sz w:val="20"/>
          <w:szCs w:val="20"/>
        </w:rPr>
        <w:t>Iepirkuma nolikuma 2.pielikumu “TEHNISKĀ SPECIFIKĀCIJA / tehniskais- finanšu piedāvājums”</w:t>
      </w:r>
      <w:r>
        <w:rPr>
          <w:rFonts w:ascii="Arial" w:hAnsi="Arial" w:cs="Arial"/>
          <w:bCs/>
          <w:sz w:val="20"/>
          <w:szCs w:val="20"/>
        </w:rPr>
        <w:t xml:space="preserve"> izteikt šādā redakcijā:</w:t>
      </w:r>
    </w:p>
    <w:p w14:paraId="1C4AEF72" w14:textId="77777777" w:rsidR="00B27188" w:rsidRPr="00604CFC" w:rsidRDefault="00B27188" w:rsidP="00B27188">
      <w:pPr>
        <w:pStyle w:val="ListParagraph"/>
        <w:ind w:left="426"/>
        <w:rPr>
          <w:rFonts w:ascii="Arial" w:hAnsi="Arial" w:cs="Arial"/>
          <w:bCs/>
          <w:sz w:val="20"/>
          <w:szCs w:val="20"/>
        </w:rPr>
      </w:pPr>
    </w:p>
    <w:p w14:paraId="01D0A748" w14:textId="77777777" w:rsidR="00B27188" w:rsidRDefault="00B27188" w:rsidP="00B27188">
      <w:pPr>
        <w:sectPr w:rsidR="00B27188" w:rsidSect="00B27188">
          <w:footerReference w:type="even" r:id="rId7"/>
          <w:footerReference w:type="default" r:id="rId8"/>
          <w:pgSz w:w="12240" w:h="15840" w:code="1"/>
          <w:pgMar w:top="1021" w:right="964" w:bottom="1021" w:left="1644" w:header="720" w:footer="720" w:gutter="0"/>
          <w:cols w:space="720"/>
          <w:docGrid w:linePitch="272"/>
        </w:sectPr>
      </w:pPr>
    </w:p>
    <w:p w14:paraId="3CAE37D8" w14:textId="77777777" w:rsidR="00B27188" w:rsidRPr="00604CFC" w:rsidRDefault="00B27188" w:rsidP="00B2718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31200865"/>
      <w:r w:rsidRPr="00604CFC">
        <w:rPr>
          <w:rFonts w:ascii="Arial" w:hAnsi="Arial" w:cs="Arial"/>
          <w:b/>
          <w:bCs/>
          <w:sz w:val="20"/>
          <w:szCs w:val="20"/>
        </w:rPr>
        <w:lastRenderedPageBreak/>
        <w:t>2.pielikums</w:t>
      </w:r>
    </w:p>
    <w:p w14:paraId="02A12647" w14:textId="77777777" w:rsidR="00B27188" w:rsidRDefault="00B27188" w:rsidP="00B2718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VAS „Latvijas dzelzceļš” sarunu procedūras ar publikāciju </w:t>
      </w:r>
    </w:p>
    <w:p w14:paraId="7B461CE0" w14:textId="77777777" w:rsidR="00B27188" w:rsidRDefault="00B27188" w:rsidP="00B2718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AC7AC2">
        <w:rPr>
          <w:rFonts w:ascii="Arial" w:hAnsi="Arial" w:cs="Arial"/>
          <w:sz w:val="20"/>
          <w:szCs w:val="20"/>
        </w:rPr>
        <w:t>Releju - procesoru centralizācijas sistēmas rezerves daļu piegāde”</w:t>
      </w:r>
      <w:r>
        <w:rPr>
          <w:rFonts w:ascii="Arial" w:hAnsi="Arial" w:cs="Arial"/>
          <w:sz w:val="20"/>
          <w:szCs w:val="20"/>
        </w:rPr>
        <w:t xml:space="preserve"> nolikumam</w:t>
      </w:r>
    </w:p>
    <w:p w14:paraId="4BCEA83A" w14:textId="77777777" w:rsidR="00B27188" w:rsidRPr="00913E08" w:rsidRDefault="00B27188" w:rsidP="00B2718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bookmarkEnd w:id="0"/>
    <w:p w14:paraId="5218845F" w14:textId="77777777" w:rsidR="00B27188" w:rsidRDefault="00B27188" w:rsidP="00B2718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TEHNISKĀ SPECIFIKĀCIJA / tehniskais- finanšu piedāvājums</w:t>
      </w:r>
    </w:p>
    <w:p w14:paraId="119B1F69" w14:textId="77777777" w:rsidR="00B27188" w:rsidRPr="008B0B1D" w:rsidRDefault="00B27188" w:rsidP="00B27188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8B0B1D">
        <w:rPr>
          <w:rFonts w:ascii="Arial" w:hAnsi="Arial" w:cs="Arial"/>
          <w:i/>
          <w:iCs/>
          <w:sz w:val="20"/>
          <w:szCs w:val="20"/>
        </w:rPr>
        <w:t>(forma, kas ietver sevī arī izvērstu pretendentam aizpildāmo finanšu aprēķinu, aizpilda pretendents atbilstoši tai iepirkuma priekšmeta daļai, kurā tiek iesniegts piedāvājums)</w:t>
      </w:r>
    </w:p>
    <w:tbl>
      <w:tblPr>
        <w:tblW w:w="14458" w:type="dxa"/>
        <w:tblLook w:val="04A0" w:firstRow="1" w:lastRow="0" w:firstColumn="1" w:lastColumn="0" w:noHBand="0" w:noVBand="1"/>
      </w:tblPr>
      <w:tblGrid>
        <w:gridCol w:w="846"/>
        <w:gridCol w:w="3640"/>
        <w:gridCol w:w="1856"/>
        <w:gridCol w:w="708"/>
        <w:gridCol w:w="2226"/>
        <w:gridCol w:w="960"/>
        <w:gridCol w:w="1374"/>
        <w:gridCol w:w="1378"/>
        <w:gridCol w:w="1470"/>
      </w:tblGrid>
      <w:tr w:rsidR="00B27188" w14:paraId="42DAAA7A" w14:textId="77777777" w:rsidTr="003C64D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AC0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Daļas Nr.</w:t>
            </w:r>
            <w:r w:rsidRPr="00910004">
              <w:rPr>
                <w:rStyle w:val="FootnoteReference"/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footnoteReference w:id="1"/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5AD1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nosaukums un tehniskais raksturojums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C856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Ražotājs</w:t>
            </w:r>
            <w:r w:rsidRPr="00910004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footnoteReference w:id="2"/>
            </w:r>
          </w:p>
          <w:p w14:paraId="0FDE5EDE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(nosaukums, ražošanas valsts, pašreizējā atrašanās vieta)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EA130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1671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Piegādes vieta*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0E9C2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743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Vienības cena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4435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Summa</w:t>
            </w:r>
          </w:p>
        </w:tc>
      </w:tr>
      <w:tr w:rsidR="00B27188" w14:paraId="4497BB98" w14:textId="77777777" w:rsidTr="003C64DC">
        <w:trPr>
          <w:trHeight w:val="55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E2A9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4D27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041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7458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43FCA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EPR-1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A010D5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EPR-2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9D4F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C90D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(EUR bez PVN)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BA0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(EUR bez PVN)</w:t>
            </w:r>
          </w:p>
        </w:tc>
      </w:tr>
      <w:tr w:rsidR="00B27188" w14:paraId="2FBC3006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8546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73BF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bookmarkStart w:id="1" w:name="RANGE!B3"/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Centrālā procesora modulis DT.469535.020</w:t>
            </w:r>
            <w:bookmarkEnd w:id="1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A2B65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A6B2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CEC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B45D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339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1A73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96C0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2EE42A27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1BB6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0489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Strāvas izejas modulis DT. 469535.008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1D96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2CB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8C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41FD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5EE0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9AA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EC6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1D204C13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ED1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4E4C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Strāvas izejas modulis DT. 469535.007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8E81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D3FC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64A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440C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5C3A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2C4B6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30F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20416A86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2E4B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F8B2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Strāvas ieeju modulis DT.469535.011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8B79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6D63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2CE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889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ED4B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0C33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AB9C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1B0190CD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4AE9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70EA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Strāvas ieeju modulis DT.469535.010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6712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106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5B0C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9919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47B2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5BF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70182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70651814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C145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41C5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t-BR"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val="pt-BR" w:eastAsia="lv-LV"/>
              </w:rPr>
              <w:t>Releja izejas modulis P40 DT.469535.025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AE3E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FDB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404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F754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1DF2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48AE2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BBE5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609D892E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B9F0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2400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Drošu izeju modulis DT.469535.023-2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4D890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C781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8CBC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F63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7CD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ABEB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5EAB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6336B6DE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995B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0443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Drošu izeju modulis DT.469535.023-9, DT.469535.023-8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4DC3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05D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4030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5851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DDF7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0B99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AF44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32C9EA38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438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8CEC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Strāvas padeve bloks( BM-1602 (PSU)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C35B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851A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106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51E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0EF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356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A82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3CA1CAB0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2357" w14:textId="77777777" w:rsidR="00B27188" w:rsidRPr="002521BA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  <w:lang w:eastAsia="lv-LV"/>
              </w:rPr>
            </w:pPr>
            <w:r w:rsidRPr="002521BA">
              <w:rPr>
                <w:rFonts w:ascii="Arial" w:hAnsi="Arial" w:cs="Arial"/>
                <w:color w:val="0070C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6E8A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Mērītājs ADAM-4017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864D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9673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901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4589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8172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C2D1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07B95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7E185EED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8753" w14:textId="77777777" w:rsidR="00B27188" w:rsidRPr="002521BA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2521BA">
              <w:rPr>
                <w:rFonts w:ascii="Arial" w:hAnsi="Arial" w:cs="Arial"/>
                <w:color w:val="0070C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3646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Pārveidotājs ADAM-4520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3DAF9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3722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E16E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F6C7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0483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F5B9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95D9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5643E170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93AD" w14:textId="77777777" w:rsidR="00B27188" w:rsidRPr="002521BA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  <w:lang w:eastAsia="lv-LV"/>
              </w:rPr>
            </w:pPr>
            <w:r w:rsidRPr="002521BA">
              <w:rPr>
                <w:rFonts w:ascii="Arial" w:hAnsi="Arial" w:cs="Arial"/>
                <w:color w:val="0070C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04C7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Strāvas normalizētājs DSCA33-07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81139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83C2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9153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1411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8DD7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85DC0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7720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70181F7C" w14:textId="77777777" w:rsidTr="003C64D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653A" w14:textId="77777777" w:rsidR="00B27188" w:rsidRPr="002521BA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2521BA">
              <w:rPr>
                <w:rFonts w:ascii="Arial" w:hAnsi="Arial" w:cs="Arial"/>
                <w:color w:val="0070C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05E4" w14:textId="77777777" w:rsidR="00B27188" w:rsidRPr="00910004" w:rsidRDefault="00B27188" w:rsidP="003C64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Sprieguma normalizētājs DSCA33-05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2A88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60A6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8CF6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65DF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182A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910004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02B7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D8E8" w14:textId="77777777" w:rsidR="00B27188" w:rsidRPr="00910004" w:rsidRDefault="00B27188" w:rsidP="003C64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B27188" w14:paraId="3B146A06" w14:textId="77777777" w:rsidTr="003C64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4C4" w14:textId="77777777" w:rsidR="00B27188" w:rsidRPr="00910004" w:rsidRDefault="00B27188" w:rsidP="003C64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582A0" w14:textId="77777777" w:rsidR="00B27188" w:rsidRPr="00910004" w:rsidRDefault="00B27188" w:rsidP="003C64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0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0EB6D" w14:textId="77777777" w:rsidR="00B27188" w:rsidRPr="00910004" w:rsidRDefault="00B27188" w:rsidP="003C64D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19342F37" w14:textId="77777777" w:rsidR="00B27188" w:rsidRPr="00910004" w:rsidRDefault="00B27188" w:rsidP="00B27188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*</w:t>
      </w:r>
      <w:r w:rsidRPr="00910004">
        <w:rPr>
          <w:rFonts w:ascii="Arial" w:hAnsi="Arial" w:cs="Arial"/>
          <w:b/>
          <w:bCs/>
          <w:sz w:val="18"/>
          <w:szCs w:val="18"/>
          <w:u w:val="single"/>
        </w:rPr>
        <w:t>Piegādes vietas un nosacījumi</w:t>
      </w:r>
    </w:p>
    <w:tbl>
      <w:tblPr>
        <w:tblStyle w:val="TableGrid"/>
        <w:tblW w:w="14312" w:type="dxa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2473"/>
        <w:gridCol w:w="3339"/>
        <w:gridCol w:w="4819"/>
      </w:tblGrid>
      <w:tr w:rsidR="00B27188" w:rsidRPr="00910004" w14:paraId="7143208C" w14:textId="77777777" w:rsidTr="003C64DC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0BF4" w14:textId="77777777" w:rsidR="00B27188" w:rsidRPr="00910004" w:rsidRDefault="00B27188" w:rsidP="003C64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004">
              <w:rPr>
                <w:rFonts w:ascii="Arial" w:hAnsi="Arial" w:cs="Arial"/>
                <w:b/>
                <w:bCs/>
                <w:sz w:val="18"/>
                <w:szCs w:val="18"/>
              </w:rPr>
              <w:t>Piegādes vieta: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413E" w14:textId="77777777" w:rsidR="00B27188" w:rsidRPr="00910004" w:rsidRDefault="00B27188" w:rsidP="003C64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1000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Piegādes termiņš (visam preces apjomam):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CACF" w14:textId="77777777" w:rsidR="00B27188" w:rsidRPr="00910004" w:rsidRDefault="00B27188" w:rsidP="003C64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1000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Piegādes nosacījumi</w:t>
            </w:r>
          </w:p>
          <w:p w14:paraId="75FB2529" w14:textId="77777777" w:rsidR="00B27188" w:rsidRPr="00910004" w:rsidRDefault="00B27188" w:rsidP="003C64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1000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saskaņā ar līguma nosacījumiem , t.sk.: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9E6A" w14:textId="77777777" w:rsidR="00B27188" w:rsidRPr="00910004" w:rsidRDefault="00B27188" w:rsidP="003C64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004">
              <w:rPr>
                <w:rFonts w:ascii="Arial" w:hAnsi="Arial" w:cs="Arial"/>
                <w:b/>
                <w:bCs/>
                <w:sz w:val="18"/>
                <w:szCs w:val="18"/>
              </w:rPr>
              <w:t>Kontaktinformācija</w:t>
            </w:r>
          </w:p>
        </w:tc>
      </w:tr>
      <w:tr w:rsidR="00B27188" w:rsidRPr="00910004" w14:paraId="50DFC55D" w14:textId="77777777" w:rsidTr="003C64D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851C" w14:textId="77777777" w:rsidR="00B27188" w:rsidRPr="00910004" w:rsidRDefault="00B27188" w:rsidP="003C64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10004">
              <w:rPr>
                <w:rFonts w:ascii="Arial" w:hAnsi="Arial" w:cs="Arial"/>
                <w:b/>
                <w:bCs/>
                <w:sz w:val="18"/>
                <w:szCs w:val="18"/>
              </w:rPr>
              <w:t>EPR-1: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4C86" w14:textId="77777777" w:rsidR="00B27188" w:rsidRPr="00910004" w:rsidRDefault="00B27188" w:rsidP="003C64D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10004">
              <w:rPr>
                <w:rFonts w:ascii="Arial" w:hAnsi="Arial" w:cs="Arial"/>
                <w:sz w:val="18"/>
                <w:szCs w:val="18"/>
              </w:rPr>
              <w:t>Elektrotehniskās pārvaldes Rīgas reģionālais centrs, Krustpils 24-noliktava, Rīgā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AA37" w14:textId="77777777" w:rsidR="00B27188" w:rsidRPr="00910004" w:rsidRDefault="00B27188" w:rsidP="003C64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04">
              <w:rPr>
                <w:rFonts w:ascii="Arial" w:hAnsi="Arial" w:cs="Arial"/>
                <w:sz w:val="18"/>
                <w:szCs w:val="18"/>
              </w:rPr>
              <w:t xml:space="preserve">Pilnā apjomā jāpiegādā </w:t>
            </w:r>
            <w:r w:rsidRPr="00910004">
              <w:rPr>
                <w:rFonts w:ascii="Arial" w:hAnsi="Arial" w:cs="Arial"/>
                <w:b/>
                <w:bCs/>
                <w:sz w:val="18"/>
                <w:szCs w:val="18"/>
              </w:rPr>
              <w:t>6 (sešu)</w:t>
            </w:r>
            <w:r w:rsidRPr="00910004">
              <w:rPr>
                <w:rFonts w:ascii="Arial" w:hAnsi="Arial" w:cs="Arial"/>
                <w:sz w:val="18"/>
                <w:szCs w:val="18"/>
              </w:rPr>
              <w:t xml:space="preserve"> kalendāra mēnešu laikā pēc līguma abpusējas parakstīšanas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CB49" w14:textId="77777777" w:rsidR="00B27188" w:rsidRPr="00910004" w:rsidRDefault="00B27188" w:rsidP="003C64DC">
            <w:pPr>
              <w:rPr>
                <w:rFonts w:ascii="Arial" w:hAnsi="Arial" w:cs="Arial"/>
                <w:sz w:val="18"/>
                <w:szCs w:val="18"/>
              </w:rPr>
            </w:pPr>
            <w:r w:rsidRPr="00910004">
              <w:rPr>
                <w:rFonts w:ascii="Arial" w:hAnsi="Arial" w:cs="Arial"/>
                <w:sz w:val="18"/>
                <w:szCs w:val="18"/>
              </w:rPr>
              <w:t>1. Nodrošināta preces piegāde, izkraušana un novietošana, Rīgā, Daugavpilī;</w:t>
            </w:r>
          </w:p>
          <w:p w14:paraId="343C780D" w14:textId="77777777" w:rsidR="00B27188" w:rsidRPr="00910004" w:rsidRDefault="00B27188" w:rsidP="003C64D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10004">
              <w:rPr>
                <w:rFonts w:ascii="Arial" w:hAnsi="Arial" w:cs="Arial"/>
                <w:sz w:val="18"/>
                <w:szCs w:val="18"/>
              </w:rPr>
              <w:t xml:space="preserve">2. Pārdevējs informē Pircēja pārstāvi par konkrētu Preces piegādes laiku </w:t>
            </w:r>
            <w:r w:rsidRPr="00910004">
              <w:rPr>
                <w:rFonts w:ascii="Arial" w:hAnsi="Arial" w:cs="Arial"/>
                <w:b/>
                <w:bCs/>
                <w:sz w:val="18"/>
                <w:szCs w:val="18"/>
              </w:rPr>
              <w:t>ne vēlāk kā 5 (piecas) darba dienas</w:t>
            </w:r>
            <w:r w:rsidRPr="00910004">
              <w:rPr>
                <w:rFonts w:ascii="Arial" w:hAnsi="Arial" w:cs="Arial"/>
                <w:sz w:val="18"/>
                <w:szCs w:val="18"/>
              </w:rPr>
              <w:t xml:space="preserve"> pirms piegādes.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5DF9" w14:textId="77777777" w:rsidR="00B27188" w:rsidRPr="00910004" w:rsidRDefault="00B27188" w:rsidP="003C64D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10004">
              <w:rPr>
                <w:rFonts w:ascii="Arial" w:hAnsi="Arial" w:cs="Arial"/>
                <w:sz w:val="18"/>
                <w:szCs w:val="18"/>
                <w:u w:val="single"/>
              </w:rPr>
              <w:t>Rīgas reģionālais centrs, Krustpils 24-noliktava, Rīgā:</w:t>
            </w:r>
            <w:r w:rsidRPr="00910004">
              <w:rPr>
                <w:rFonts w:ascii="Arial" w:hAnsi="Arial" w:cs="Arial"/>
                <w:sz w:val="18"/>
                <w:szCs w:val="18"/>
              </w:rPr>
              <w:t xml:space="preserve"> noliktavas pārzine laboratorijas vagona pavadone Marina Tkačeva (tālr.+371 67234994, mob.+371 20412265, e-pasts: Marina.Tkaceva@ldz.lv)</w:t>
            </w:r>
          </w:p>
        </w:tc>
      </w:tr>
      <w:tr w:rsidR="00B27188" w:rsidRPr="00910004" w14:paraId="452B6BFC" w14:textId="77777777" w:rsidTr="003C64D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6B8F" w14:textId="77777777" w:rsidR="00B27188" w:rsidRPr="00910004" w:rsidRDefault="00B27188" w:rsidP="003C64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10004">
              <w:rPr>
                <w:rFonts w:ascii="Arial" w:hAnsi="Arial" w:cs="Arial"/>
                <w:b/>
                <w:bCs/>
                <w:sz w:val="18"/>
                <w:szCs w:val="18"/>
              </w:rPr>
              <w:t>EPR-2: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2092" w14:textId="77777777" w:rsidR="00B27188" w:rsidRPr="00910004" w:rsidRDefault="00B27188" w:rsidP="003C64D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10004">
              <w:rPr>
                <w:rFonts w:ascii="Arial" w:hAnsi="Arial" w:cs="Arial"/>
                <w:sz w:val="18"/>
                <w:szCs w:val="18"/>
              </w:rPr>
              <w:t xml:space="preserve">Elektrotehniskās pārvaldes Daugavpils reģionālais centrs, 1.Pasažieru ielā 12, </w:t>
            </w:r>
            <w:proofErr w:type="spellStart"/>
            <w:r w:rsidRPr="00910004">
              <w:rPr>
                <w:rFonts w:ascii="Arial" w:hAnsi="Arial" w:cs="Arial"/>
                <w:sz w:val="18"/>
                <w:szCs w:val="18"/>
              </w:rPr>
              <w:t>Dagavpilī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4FCB" w14:textId="77777777" w:rsidR="00B27188" w:rsidRPr="00910004" w:rsidRDefault="00B27188" w:rsidP="003C6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CE8E" w14:textId="77777777" w:rsidR="00B27188" w:rsidRPr="00910004" w:rsidRDefault="00B27188" w:rsidP="003C64D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CCB8" w14:textId="77777777" w:rsidR="00B27188" w:rsidRPr="00910004" w:rsidRDefault="00B27188" w:rsidP="003C64D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10004">
              <w:rPr>
                <w:rFonts w:ascii="Arial" w:hAnsi="Arial" w:cs="Arial"/>
                <w:sz w:val="18"/>
                <w:szCs w:val="18"/>
                <w:u w:val="single"/>
              </w:rPr>
              <w:t>Daugavpils reģionālais centrs, 1.Pasažieru ielā 12, Daugavpilī:</w:t>
            </w:r>
            <w:r w:rsidRPr="00910004">
              <w:rPr>
                <w:rFonts w:ascii="Arial" w:hAnsi="Arial" w:cs="Arial"/>
                <w:sz w:val="18"/>
                <w:szCs w:val="18"/>
              </w:rPr>
              <w:t xml:space="preserve"> vecākā noliktavas pārzine Irina Guzijenko (tālr.+371 67238442, mob.+371 28231300, e-pasts: irina.guzijenko@ldz.lv)</w:t>
            </w:r>
          </w:p>
        </w:tc>
      </w:tr>
    </w:tbl>
    <w:p w14:paraId="3D1E02A7" w14:textId="77777777" w:rsidR="003D69D1" w:rsidRDefault="003D69D1" w:rsidP="003A2FF8"/>
    <w:sectPr w:rsidR="003D69D1" w:rsidSect="00B27188">
      <w:pgSz w:w="15840" w:h="12240" w:orient="landscape" w:code="1"/>
      <w:pgMar w:top="1021" w:right="1021" w:bottom="1134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3E0A" w14:textId="77777777" w:rsidR="00FC4DAA" w:rsidRDefault="00FC4DAA" w:rsidP="00B27188">
      <w:pPr>
        <w:spacing w:after="0" w:line="240" w:lineRule="auto"/>
      </w:pPr>
      <w:r>
        <w:separator/>
      </w:r>
    </w:p>
  </w:endnote>
  <w:endnote w:type="continuationSeparator" w:id="0">
    <w:p w14:paraId="2526F395" w14:textId="77777777" w:rsidR="00FC4DAA" w:rsidRDefault="00FC4DAA" w:rsidP="00B2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8340" w14:textId="77777777" w:rsidR="00B27188" w:rsidRDefault="00B271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3A10C7" w14:textId="77777777" w:rsidR="00B27188" w:rsidRDefault="00B27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DD40" w14:textId="77777777" w:rsidR="00B27188" w:rsidRPr="00CB2C4F" w:rsidRDefault="00B27188" w:rsidP="00DD71CD">
    <w:pPr>
      <w:pStyle w:val="Footer"/>
      <w:jc w:val="center"/>
      <w:rPr>
        <w:rFonts w:ascii="Arial" w:hAnsi="Arial" w:cs="Arial"/>
      </w:rPr>
    </w:pPr>
    <w:r w:rsidRPr="00DD71CD">
      <w:rPr>
        <w:rFonts w:ascii="Arial" w:hAnsi="Arial" w:cs="Arial"/>
        <w:sz w:val="16"/>
        <w:szCs w:val="16"/>
      </w:rPr>
      <w:fldChar w:fldCharType="begin"/>
    </w:r>
    <w:r w:rsidRPr="00DD71CD">
      <w:rPr>
        <w:rFonts w:ascii="Arial" w:hAnsi="Arial" w:cs="Arial"/>
        <w:sz w:val="16"/>
        <w:szCs w:val="16"/>
      </w:rPr>
      <w:instrText xml:space="preserve"> PAGE   \* MERGEFORMAT </w:instrText>
    </w:r>
    <w:r w:rsidRPr="00DD71CD">
      <w:rPr>
        <w:rFonts w:ascii="Arial" w:hAnsi="Arial" w:cs="Arial"/>
        <w:sz w:val="16"/>
        <w:szCs w:val="16"/>
      </w:rPr>
      <w:fldChar w:fldCharType="separate"/>
    </w:r>
    <w:r w:rsidRPr="00DD71CD">
      <w:rPr>
        <w:rFonts w:ascii="Arial" w:hAnsi="Arial" w:cs="Arial"/>
        <w:noProof/>
        <w:sz w:val="16"/>
        <w:szCs w:val="16"/>
      </w:rPr>
      <w:t>1</w:t>
    </w:r>
    <w:r w:rsidRPr="00DD71CD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2A14" w14:textId="77777777" w:rsidR="00FC4DAA" w:rsidRDefault="00FC4DAA" w:rsidP="00B27188">
      <w:pPr>
        <w:spacing w:after="0" w:line="240" w:lineRule="auto"/>
      </w:pPr>
      <w:r>
        <w:separator/>
      </w:r>
    </w:p>
  </w:footnote>
  <w:footnote w:type="continuationSeparator" w:id="0">
    <w:p w14:paraId="7536EAAB" w14:textId="77777777" w:rsidR="00FC4DAA" w:rsidRDefault="00FC4DAA" w:rsidP="00B27188">
      <w:pPr>
        <w:spacing w:after="0" w:line="240" w:lineRule="auto"/>
      </w:pPr>
      <w:r>
        <w:continuationSeparator/>
      </w:r>
    </w:p>
  </w:footnote>
  <w:footnote w:id="1">
    <w:p w14:paraId="3324B38A" w14:textId="77777777" w:rsidR="00B27188" w:rsidRPr="00910004" w:rsidRDefault="00B27188" w:rsidP="00B2718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AC7AC2">
        <w:rPr>
          <w:lang w:val="lv-LV"/>
        </w:rPr>
        <w:t xml:space="preserve"> </w:t>
      </w:r>
      <w:r w:rsidRPr="00910004">
        <w:rPr>
          <w:rFonts w:ascii="Arial" w:hAnsi="Arial" w:cs="Arial"/>
          <w:sz w:val="16"/>
          <w:szCs w:val="16"/>
          <w:lang w:val="lv-LV"/>
        </w:rPr>
        <w:t>Iesniedzot piedāvājumu atsevišķās daļās, Finanšu piedāvājuma tabulā nepārprotamībai un skaidrībai norādāma sarunu procedūras priekšmeta daļu numerācija atbilstoši numerācijai Tehniskajā specifikācijā</w:t>
      </w:r>
    </w:p>
  </w:footnote>
  <w:footnote w:id="2">
    <w:p w14:paraId="22088888" w14:textId="77777777" w:rsidR="00B27188" w:rsidRDefault="00B27188" w:rsidP="00B27188">
      <w:pPr>
        <w:pStyle w:val="FootnoteText"/>
        <w:rPr>
          <w:lang w:val="lv-LV"/>
        </w:rPr>
      </w:pPr>
      <w:r w:rsidRPr="00910004"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lv-LV"/>
        </w:rPr>
        <w:t xml:space="preserve"> </w:t>
      </w:r>
      <w:r>
        <w:rPr>
          <w:rFonts w:ascii="Arial" w:hAnsi="Arial" w:cs="Arial"/>
          <w:sz w:val="16"/>
          <w:szCs w:val="16"/>
          <w:lang w:val="lv-LV"/>
        </w:rPr>
        <w:t xml:space="preserve">Pasūtītājs veic padziļinātu piedāvājuma </w:t>
      </w:r>
      <w:proofErr w:type="spellStart"/>
      <w:r>
        <w:rPr>
          <w:rFonts w:ascii="Arial" w:hAnsi="Arial" w:cs="Arial"/>
          <w:sz w:val="16"/>
          <w:szCs w:val="16"/>
          <w:lang w:val="lv-LV"/>
        </w:rPr>
        <w:t>izvērtējumu</w:t>
      </w:r>
      <w:proofErr w:type="spellEnd"/>
      <w:r>
        <w:rPr>
          <w:rFonts w:ascii="Arial" w:hAnsi="Arial" w:cs="Arial"/>
          <w:sz w:val="16"/>
          <w:szCs w:val="16"/>
          <w:lang w:val="lv-LV"/>
        </w:rPr>
        <w:t xml:space="preserve">, tai skaitā, visu spektru risku </w:t>
      </w:r>
      <w:proofErr w:type="spellStart"/>
      <w:r>
        <w:rPr>
          <w:rFonts w:ascii="Arial" w:hAnsi="Arial" w:cs="Arial"/>
          <w:sz w:val="16"/>
          <w:szCs w:val="16"/>
          <w:lang w:val="lv-LV"/>
        </w:rPr>
        <w:t>izvērtējumu</w:t>
      </w:r>
      <w:proofErr w:type="spellEnd"/>
      <w:r>
        <w:rPr>
          <w:rFonts w:ascii="Arial" w:hAnsi="Arial" w:cs="Arial"/>
          <w:sz w:val="16"/>
          <w:szCs w:val="16"/>
          <w:lang w:val="lv-LV"/>
        </w:rPr>
        <w:t>, ja piedāvājums satur preces, kuru izcelsmes valsts ir Krievijas federācija vai Baltkrievijas Republika (attiecināms uz precēm, to izejvielām (izejmateriāliem), kas nav pakļautas starptautiskajām ekonomiskajām sankcijām.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2209C"/>
    <w:multiLevelType w:val="hybridMultilevel"/>
    <w:tmpl w:val="2C52B776"/>
    <w:lvl w:ilvl="0" w:tplc="BFA6D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2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88"/>
    <w:rsid w:val="003A2FF8"/>
    <w:rsid w:val="003D69D1"/>
    <w:rsid w:val="00B27188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0430A"/>
  <w15:chartTrackingRefBased/>
  <w15:docId w15:val="{52FE6F45-D235-4BEB-A0BB-843BF36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88"/>
  </w:style>
  <w:style w:type="paragraph" w:styleId="Heading1">
    <w:name w:val="heading 1"/>
    <w:basedOn w:val="Normal"/>
    <w:next w:val="Normal"/>
    <w:link w:val="Heading1Char"/>
    <w:qFormat/>
    <w:rsid w:val="00B271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718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71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188"/>
  </w:style>
  <w:style w:type="character" w:styleId="PageNumber">
    <w:name w:val="page number"/>
    <w:basedOn w:val="DefaultParagraphFont"/>
    <w:rsid w:val="00B27188"/>
  </w:style>
  <w:style w:type="paragraph" w:styleId="Title">
    <w:name w:val="Title"/>
    <w:basedOn w:val="Normal"/>
    <w:link w:val="TitleChar"/>
    <w:uiPriority w:val="99"/>
    <w:qFormat/>
    <w:rsid w:val="00B2718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99"/>
    <w:rsid w:val="00B27188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B271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2718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aliases w:val="CV table"/>
    <w:basedOn w:val="TableNormal"/>
    <w:uiPriority w:val="59"/>
    <w:rsid w:val="00B27188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B27188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B27188"/>
  </w:style>
  <w:style w:type="paragraph" w:customStyle="1" w:styleId="Default">
    <w:name w:val="Default"/>
    <w:rsid w:val="00B2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1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18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semiHidden/>
    <w:unhideWhenUsed/>
    <w:rsid w:val="00B271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1749</Words>
  <Characters>998</Characters>
  <Application>Microsoft Office Word</Application>
  <DocSecurity>0</DocSecurity>
  <Lines>8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Dace Kārkle</cp:lastModifiedBy>
  <cp:revision>2</cp:revision>
  <dcterms:created xsi:type="dcterms:W3CDTF">2025-01-02T14:34:00Z</dcterms:created>
  <dcterms:modified xsi:type="dcterms:W3CDTF">2025-01-02T14:35:00Z</dcterms:modified>
</cp:coreProperties>
</file>