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2A920" w14:textId="77777777" w:rsidR="00FB6B6B" w:rsidRPr="00401415" w:rsidRDefault="00FB6B6B" w:rsidP="00FB6B6B">
      <w:pPr>
        <w:pStyle w:val="Default"/>
        <w:jc w:val="right"/>
        <w:rPr>
          <w:rFonts w:ascii="Arial" w:hAnsi="Arial" w:cs="Arial"/>
          <w:sz w:val="20"/>
          <w:szCs w:val="20"/>
        </w:rPr>
      </w:pPr>
      <w:bookmarkStart w:id="0" w:name="_Hlk128566473"/>
      <w:r w:rsidRPr="00401415">
        <w:rPr>
          <w:rFonts w:ascii="Arial" w:hAnsi="Arial" w:cs="Arial"/>
          <w:sz w:val="20"/>
          <w:szCs w:val="20"/>
        </w:rPr>
        <w:t>APSTIPRINĀTS</w:t>
      </w:r>
    </w:p>
    <w:p w14:paraId="6A4EF927" w14:textId="77777777" w:rsidR="00FB6B6B" w:rsidRPr="00401415" w:rsidRDefault="00FB6B6B" w:rsidP="00FB6B6B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401415">
        <w:rPr>
          <w:rFonts w:ascii="Arial" w:hAnsi="Arial" w:cs="Arial"/>
          <w:sz w:val="20"/>
          <w:szCs w:val="20"/>
        </w:rPr>
        <w:t>ar VAS “Latvijas dzelzceļš” iepirkuma komisijas</w:t>
      </w:r>
    </w:p>
    <w:p w14:paraId="72B946C6" w14:textId="65691FCC" w:rsidR="00FB6B6B" w:rsidRPr="00401415" w:rsidRDefault="00FB6B6B" w:rsidP="00FB6B6B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401415">
        <w:rPr>
          <w:rFonts w:ascii="Arial" w:hAnsi="Arial" w:cs="Arial"/>
          <w:sz w:val="20"/>
          <w:szCs w:val="20"/>
        </w:rPr>
        <w:t xml:space="preserve">2023.gada </w:t>
      </w:r>
      <w:r w:rsidR="007836A1">
        <w:rPr>
          <w:rFonts w:ascii="Arial" w:hAnsi="Arial" w:cs="Arial"/>
          <w:sz w:val="20"/>
          <w:szCs w:val="20"/>
        </w:rPr>
        <w:t>9</w:t>
      </w:r>
      <w:r w:rsidRPr="00401415">
        <w:rPr>
          <w:rFonts w:ascii="Arial" w:hAnsi="Arial" w:cs="Arial"/>
          <w:sz w:val="20"/>
          <w:szCs w:val="20"/>
        </w:rPr>
        <w:t>.augusta 2.sēdes protokolu</w:t>
      </w:r>
    </w:p>
    <w:p w14:paraId="48DD1290" w14:textId="77777777" w:rsidR="00FB6B6B" w:rsidRPr="00401415" w:rsidRDefault="00FB6B6B" w:rsidP="00FB6B6B">
      <w:pPr>
        <w:jc w:val="center"/>
        <w:rPr>
          <w:rFonts w:ascii="Arial" w:hAnsi="Arial" w:cs="Arial"/>
          <w:lang w:val="lv-LV"/>
        </w:rPr>
      </w:pPr>
    </w:p>
    <w:p w14:paraId="641E093C" w14:textId="77777777" w:rsidR="00FB6B6B" w:rsidRPr="00401415" w:rsidRDefault="00FB6B6B" w:rsidP="00FB6B6B">
      <w:pPr>
        <w:jc w:val="center"/>
        <w:rPr>
          <w:rFonts w:ascii="Arial" w:hAnsi="Arial" w:cs="Arial"/>
          <w:b/>
          <w:lang w:val="lv-LV"/>
        </w:rPr>
      </w:pPr>
      <w:r w:rsidRPr="00401415">
        <w:rPr>
          <w:rFonts w:ascii="Arial" w:hAnsi="Arial" w:cs="Arial"/>
          <w:b/>
          <w:lang w:val="lv-LV"/>
        </w:rPr>
        <w:t>VAS “Latvijas dzelzceļš”</w:t>
      </w:r>
    </w:p>
    <w:p w14:paraId="6F55245A" w14:textId="77777777" w:rsidR="00FB6B6B" w:rsidRPr="00401415" w:rsidRDefault="00FB6B6B" w:rsidP="00FB6B6B">
      <w:pPr>
        <w:jc w:val="center"/>
        <w:rPr>
          <w:rFonts w:ascii="Arial" w:hAnsi="Arial" w:cs="Arial"/>
          <w:b/>
          <w:lang w:val="lv-LV"/>
        </w:rPr>
      </w:pPr>
      <w:r w:rsidRPr="00401415">
        <w:rPr>
          <w:rFonts w:ascii="Arial" w:hAnsi="Arial" w:cs="Arial"/>
          <w:b/>
          <w:lang w:val="lv-LV"/>
        </w:rPr>
        <w:t>sarunu procedūrā ar publikāciju “Individuālo aizsardzības līdzekļu un aprīkojuma piegāde”</w:t>
      </w:r>
    </w:p>
    <w:p w14:paraId="30607D91" w14:textId="77777777" w:rsidR="00FB6B6B" w:rsidRPr="00401415" w:rsidRDefault="00FB6B6B" w:rsidP="00FB6B6B">
      <w:pPr>
        <w:jc w:val="center"/>
        <w:rPr>
          <w:rFonts w:ascii="Arial" w:hAnsi="Arial" w:cs="Arial"/>
          <w:b/>
          <w:shd w:val="clear" w:color="auto" w:fill="FFFFFF"/>
          <w:lang w:val="lv-LV"/>
        </w:rPr>
      </w:pPr>
      <w:r w:rsidRPr="00401415">
        <w:rPr>
          <w:rFonts w:ascii="Arial" w:hAnsi="Arial" w:cs="Arial"/>
          <w:b/>
          <w:bCs/>
          <w:lang w:val="lv-LV"/>
        </w:rPr>
        <w:t xml:space="preserve">iepirkuma identifikācijas nr. </w:t>
      </w:r>
      <w:r w:rsidRPr="00401415">
        <w:rPr>
          <w:rFonts w:ascii="Arial" w:hAnsi="Arial" w:cs="Arial"/>
          <w:b/>
          <w:bCs/>
          <w:color w:val="212121"/>
          <w:shd w:val="clear" w:color="auto" w:fill="FFFFFF"/>
          <w:lang w:val="lv-LV"/>
        </w:rPr>
        <w:t>LDZ 2023/138-SPAV</w:t>
      </w:r>
      <w:r w:rsidRPr="00401415">
        <w:rPr>
          <w:rFonts w:ascii="Arial" w:hAnsi="Arial" w:cs="Arial"/>
          <w:b/>
          <w:shd w:val="clear" w:color="auto" w:fill="FFFFFF"/>
          <w:lang w:val="lv-LV"/>
        </w:rPr>
        <w:t>)</w:t>
      </w:r>
    </w:p>
    <w:p w14:paraId="00BDFAAC" w14:textId="77777777" w:rsidR="00FB6B6B" w:rsidRPr="00401415" w:rsidRDefault="00FB6B6B" w:rsidP="00FB6B6B">
      <w:pPr>
        <w:jc w:val="center"/>
        <w:rPr>
          <w:rFonts w:ascii="Arial" w:hAnsi="Arial" w:cs="Arial"/>
          <w:lang w:val="lv-LV"/>
        </w:rPr>
      </w:pPr>
      <w:r w:rsidRPr="00401415">
        <w:rPr>
          <w:rFonts w:ascii="Arial" w:hAnsi="Arial" w:cs="Arial"/>
          <w:lang w:val="lv-LV"/>
        </w:rPr>
        <w:t>(turpmāk – iepirkums)</w:t>
      </w:r>
    </w:p>
    <w:p w14:paraId="1346478B" w14:textId="77777777" w:rsidR="00FB6B6B" w:rsidRPr="00401415" w:rsidRDefault="00FB6B6B" w:rsidP="00FB6B6B">
      <w:pPr>
        <w:jc w:val="center"/>
        <w:rPr>
          <w:rFonts w:ascii="Arial" w:hAnsi="Arial" w:cs="Arial"/>
          <w:lang w:val="lv-LV"/>
        </w:rPr>
      </w:pPr>
    </w:p>
    <w:p w14:paraId="0A3355AD" w14:textId="77777777" w:rsidR="00FB6B6B" w:rsidRPr="00401415" w:rsidRDefault="00FB6B6B" w:rsidP="00FB6B6B">
      <w:pPr>
        <w:pStyle w:val="Default"/>
        <w:jc w:val="center"/>
        <w:rPr>
          <w:rFonts w:ascii="Arial" w:hAnsi="Arial" w:cs="Arial"/>
          <w:b/>
          <w:smallCaps/>
          <w:sz w:val="20"/>
          <w:szCs w:val="20"/>
        </w:rPr>
      </w:pPr>
      <w:r w:rsidRPr="00401415">
        <w:rPr>
          <w:rFonts w:ascii="Arial" w:hAnsi="Arial" w:cs="Arial"/>
          <w:b/>
          <w:smallCaps/>
          <w:sz w:val="20"/>
          <w:szCs w:val="20"/>
        </w:rPr>
        <w:t>Skaidrojums Nr.1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962"/>
      </w:tblGrid>
      <w:tr w:rsidR="00FB6B6B" w:rsidRPr="00401415" w14:paraId="472F2818" w14:textId="77777777" w:rsidTr="00F6507C">
        <w:tc>
          <w:tcPr>
            <w:tcW w:w="4815" w:type="dxa"/>
            <w:shd w:val="clear" w:color="auto" w:fill="auto"/>
          </w:tcPr>
          <w:p w14:paraId="6E6A72F9" w14:textId="77777777" w:rsidR="00FB6B6B" w:rsidRPr="00401415" w:rsidRDefault="00FB6B6B" w:rsidP="00F6507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415">
              <w:rPr>
                <w:rFonts w:ascii="Arial" w:hAnsi="Arial" w:cs="Arial"/>
                <w:b/>
                <w:sz w:val="20"/>
                <w:szCs w:val="20"/>
              </w:rPr>
              <w:t>Jautājums</w:t>
            </w:r>
          </w:p>
        </w:tc>
        <w:tc>
          <w:tcPr>
            <w:tcW w:w="4962" w:type="dxa"/>
            <w:shd w:val="clear" w:color="auto" w:fill="auto"/>
          </w:tcPr>
          <w:p w14:paraId="04C9A798" w14:textId="77777777" w:rsidR="00FB6B6B" w:rsidRPr="00401415" w:rsidRDefault="00FB6B6B" w:rsidP="00F6507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415">
              <w:rPr>
                <w:rFonts w:ascii="Arial" w:hAnsi="Arial" w:cs="Arial"/>
                <w:b/>
                <w:sz w:val="20"/>
                <w:szCs w:val="20"/>
              </w:rPr>
              <w:t>Atbilde</w:t>
            </w:r>
          </w:p>
        </w:tc>
      </w:tr>
      <w:tr w:rsidR="00FB6B6B" w:rsidRPr="00F6507C" w14:paraId="0452F81F" w14:textId="77777777" w:rsidTr="00F6507C">
        <w:trPr>
          <w:trHeight w:val="976"/>
        </w:trPr>
        <w:tc>
          <w:tcPr>
            <w:tcW w:w="4815" w:type="dxa"/>
            <w:shd w:val="clear" w:color="auto" w:fill="auto"/>
          </w:tcPr>
          <w:p w14:paraId="7721EB32" w14:textId="77777777" w:rsidR="00FB6B6B" w:rsidRPr="00401415" w:rsidRDefault="00FB6B6B" w:rsidP="00F6507C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401415">
              <w:rPr>
                <w:rFonts w:ascii="Arial" w:hAnsi="Arial" w:cs="Arial"/>
                <w:sz w:val="20"/>
                <w:szCs w:val="20"/>
              </w:rPr>
              <w:t>Jautājums par šo sarunu procedūru - LDZ 2023/138-SPAV</w:t>
            </w:r>
          </w:p>
          <w:p w14:paraId="6B48CC21" w14:textId="77777777" w:rsidR="00FB6B6B" w:rsidRPr="00401415" w:rsidRDefault="00FB6B6B" w:rsidP="00F6507C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401415">
              <w:rPr>
                <w:rFonts w:ascii="Arial" w:hAnsi="Arial" w:cs="Arial"/>
                <w:sz w:val="20"/>
                <w:szCs w:val="20"/>
              </w:rPr>
              <w:t>Pozīc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401415">
              <w:rPr>
                <w:rFonts w:ascii="Arial" w:hAnsi="Arial" w:cs="Arial"/>
                <w:sz w:val="20"/>
                <w:szCs w:val="20"/>
              </w:rPr>
              <w:t xml:space="preserve">jās </w:t>
            </w:r>
            <w:proofErr w:type="spellStart"/>
            <w:r w:rsidRPr="00401415"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  <w:r w:rsidRPr="00401415">
              <w:rPr>
                <w:rFonts w:ascii="Arial" w:hAnsi="Arial" w:cs="Arial"/>
                <w:sz w:val="20"/>
                <w:szCs w:val="20"/>
              </w:rPr>
              <w:t xml:space="preserve"> 12, 14, 16, 18 ir noradīts konkrēts ražotājs, lai gan blakus iedaļās šo pašu produktu jautājāt bez konkrēta ražotāja,</w:t>
            </w:r>
          </w:p>
          <w:p w14:paraId="62CC0EA3" w14:textId="77777777" w:rsidR="00FB6B6B" w:rsidRPr="00401415" w:rsidRDefault="00FB6B6B" w:rsidP="00F6507C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401415">
              <w:rPr>
                <w:rFonts w:ascii="Arial" w:hAnsi="Arial" w:cs="Arial"/>
                <w:sz w:val="20"/>
                <w:szCs w:val="20"/>
              </w:rPr>
              <w:t xml:space="preserve">Ražotāja </w:t>
            </w:r>
            <w:proofErr w:type="spellStart"/>
            <w:r w:rsidRPr="00401415">
              <w:rPr>
                <w:rFonts w:ascii="Arial" w:hAnsi="Arial" w:cs="Arial"/>
                <w:sz w:val="20"/>
                <w:szCs w:val="20"/>
              </w:rPr>
              <w:t>Moldex</w:t>
            </w:r>
            <w:proofErr w:type="spellEnd"/>
            <w:r w:rsidRPr="00401415">
              <w:rPr>
                <w:rFonts w:ascii="Arial" w:hAnsi="Arial" w:cs="Arial"/>
                <w:sz w:val="20"/>
                <w:szCs w:val="20"/>
              </w:rPr>
              <w:t xml:space="preserve"> izstrādājumu mūsu reģionā izplata tikai viens tirgotājs un citiem tirgotajiem nav pieejas pie šī ražotāja.</w:t>
            </w:r>
          </w:p>
          <w:p w14:paraId="495A7EC5" w14:textId="77777777" w:rsidR="00FB6B6B" w:rsidRPr="00401415" w:rsidRDefault="00FB6B6B" w:rsidP="00F6507C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401415">
              <w:rPr>
                <w:rFonts w:ascii="Arial" w:hAnsi="Arial" w:cs="Arial"/>
                <w:sz w:val="20"/>
                <w:szCs w:val="20"/>
              </w:rPr>
              <w:t>Kā arī šādām maksām un filt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401415">
              <w:rPr>
                <w:rFonts w:ascii="Arial" w:hAnsi="Arial" w:cs="Arial"/>
                <w:sz w:val="20"/>
                <w:szCs w:val="20"/>
              </w:rPr>
              <w:t>iem, stiprinājumiem būtu jāsakrīt arī ar citu ražotāju stiprinājumiem.</w:t>
            </w:r>
          </w:p>
        </w:tc>
        <w:tc>
          <w:tcPr>
            <w:tcW w:w="4962" w:type="dxa"/>
            <w:shd w:val="clear" w:color="auto" w:fill="auto"/>
          </w:tcPr>
          <w:p w14:paraId="2FBE3990" w14:textId="77777777" w:rsidR="00FB6B6B" w:rsidRPr="00401415" w:rsidRDefault="00FB6B6B" w:rsidP="00F6507C">
            <w:pPr>
              <w:ind w:firstLine="323"/>
              <w:jc w:val="both"/>
              <w:rPr>
                <w:rFonts w:ascii="Arial" w:eastAsia="Calibri" w:hAnsi="Arial" w:cs="Arial"/>
                <w:lang w:val="lv-LV"/>
              </w:rPr>
            </w:pPr>
            <w:r w:rsidRPr="00401415">
              <w:rPr>
                <w:rFonts w:ascii="Arial" w:hAnsi="Arial" w:cs="Arial"/>
                <w:lang w:val="lv-LV"/>
              </w:rPr>
              <w:t xml:space="preserve">Iepirkuma komisija skaidro, ka pasūtītājs, izvirzot prasības tehniskajā specifikācijā (iepirkuma nolikuma 1.pielikums) ir vērtējis pasūtītājam nepieciešamās vajadzības, un konstatējis, ka Tehniskās specifikācijas (iepirkuma nolikuma 1.pielikums) pozīcijās </w:t>
            </w:r>
            <w:r>
              <w:rPr>
                <w:rFonts w:ascii="Arial" w:hAnsi="Arial" w:cs="Arial"/>
                <w:lang w:val="lv-LV"/>
              </w:rPr>
              <w:t>Nr.</w:t>
            </w:r>
            <w:r w:rsidRPr="00401415">
              <w:rPr>
                <w:rFonts w:ascii="Arial" w:hAnsi="Arial" w:cs="Arial"/>
                <w:lang w:val="lv-LV"/>
              </w:rPr>
              <w:t xml:space="preserve"> 12, 14, 16 un 18 </w:t>
            </w:r>
            <w:r w:rsidRPr="00401415">
              <w:rPr>
                <w:rFonts w:ascii="Arial" w:eastAsia="Calibri" w:hAnsi="Arial" w:cs="Arial"/>
                <w:lang w:val="lv-LV"/>
              </w:rPr>
              <w:t xml:space="preserve">ir nepieciešami tieši konkrētā ražotāja  </w:t>
            </w:r>
            <w:proofErr w:type="spellStart"/>
            <w:r w:rsidRPr="00401415">
              <w:rPr>
                <w:rFonts w:ascii="Arial" w:eastAsia="Calibri" w:hAnsi="Arial" w:cs="Arial"/>
                <w:lang w:val="lv-LV"/>
              </w:rPr>
              <w:t>pusmaskas</w:t>
            </w:r>
            <w:proofErr w:type="spellEnd"/>
            <w:r w:rsidRPr="00401415">
              <w:rPr>
                <w:rFonts w:ascii="Arial" w:eastAsia="Calibri" w:hAnsi="Arial" w:cs="Arial"/>
                <w:lang w:val="lv-LV"/>
              </w:rPr>
              <w:t xml:space="preserve"> un filtri dēļ specifiskiem tehniskajiem parametriem un funkcionālās savietojamības ar lietošanā esošajiem aizsardzības līdzekļu elementiem.</w:t>
            </w:r>
          </w:p>
          <w:p w14:paraId="2FB315AA" w14:textId="77777777" w:rsidR="00FB6B6B" w:rsidRPr="00401415" w:rsidRDefault="00FB6B6B" w:rsidP="00F6507C">
            <w:pPr>
              <w:ind w:firstLine="323"/>
              <w:jc w:val="both"/>
              <w:rPr>
                <w:rFonts w:ascii="Arial" w:hAnsi="Arial" w:cs="Arial"/>
                <w:lang w:val="lv-LV"/>
              </w:rPr>
            </w:pPr>
            <w:r w:rsidRPr="00401415">
              <w:rPr>
                <w:rFonts w:ascii="Arial" w:hAnsi="Arial" w:cs="Arial"/>
                <w:lang w:val="lv-LV"/>
              </w:rPr>
              <w:t>Vienlaikus vēršam uzmanību uz to, ka Iepirkuma nolikum</w:t>
            </w:r>
            <w:r>
              <w:rPr>
                <w:rFonts w:ascii="Arial" w:hAnsi="Arial" w:cs="Arial"/>
                <w:lang w:val="lv-LV"/>
              </w:rPr>
              <w:t xml:space="preserve">ā ir noteikta iespēja </w:t>
            </w:r>
            <w:r w:rsidRPr="00401415">
              <w:rPr>
                <w:rFonts w:ascii="Arial" w:hAnsi="Arial" w:cs="Arial"/>
                <w:lang w:val="lv-LV"/>
              </w:rPr>
              <w:t xml:space="preserve">pretendentam </w:t>
            </w:r>
            <w:r w:rsidRPr="007A6334">
              <w:rPr>
                <w:rFonts w:ascii="Arial" w:hAnsi="Arial" w:cs="Arial"/>
                <w:u w:val="single"/>
                <w:lang w:val="lv-LV"/>
              </w:rPr>
              <w:t>iesniegt piedāvājumu par Tehniskās specifikācijas (iepirkuma nolikuma 1.pielikums) atsevišķām pozīcijām (daļām</w:t>
            </w:r>
            <w:r w:rsidRPr="00401415">
              <w:rPr>
                <w:rFonts w:ascii="Arial" w:hAnsi="Arial" w:cs="Arial"/>
                <w:lang w:val="lv-LV"/>
              </w:rPr>
              <w:t>) (skat.</w:t>
            </w:r>
            <w:r>
              <w:rPr>
                <w:rFonts w:ascii="Arial" w:hAnsi="Arial" w:cs="Arial"/>
                <w:lang w:val="lv-LV"/>
              </w:rPr>
              <w:t xml:space="preserve"> </w:t>
            </w:r>
            <w:r w:rsidRPr="00401415">
              <w:rPr>
                <w:rFonts w:ascii="Arial" w:hAnsi="Arial" w:cs="Arial"/>
                <w:lang w:val="lv-LV"/>
              </w:rPr>
              <w:t>iepirkuma nolikuma 2.1. un 2.3.punktus).</w:t>
            </w:r>
          </w:p>
        </w:tc>
      </w:tr>
      <w:tr w:rsidR="00FB6B6B" w:rsidRPr="00F6507C" w14:paraId="1C01441F" w14:textId="77777777" w:rsidTr="00F6507C">
        <w:trPr>
          <w:trHeight w:val="976"/>
        </w:trPr>
        <w:tc>
          <w:tcPr>
            <w:tcW w:w="4815" w:type="dxa"/>
            <w:shd w:val="clear" w:color="auto" w:fill="auto"/>
          </w:tcPr>
          <w:p w14:paraId="7E057D2C" w14:textId="77777777" w:rsidR="00FB6B6B" w:rsidRPr="00401415" w:rsidRDefault="00FB6B6B" w:rsidP="00F6507C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401415">
              <w:rPr>
                <w:rFonts w:ascii="Arial" w:hAnsi="Arial" w:cs="Arial"/>
                <w:sz w:val="20"/>
                <w:szCs w:val="20"/>
              </w:rPr>
              <w:t xml:space="preserve">Pie reizes vēl jautājums par pozīciju </w:t>
            </w:r>
            <w:proofErr w:type="spellStart"/>
            <w:r w:rsidRPr="00401415"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  <w:r w:rsidRPr="00401415">
              <w:rPr>
                <w:rFonts w:ascii="Arial" w:hAnsi="Arial" w:cs="Arial"/>
                <w:sz w:val="20"/>
                <w:szCs w:val="20"/>
              </w:rPr>
              <w:t xml:space="preserve"> 60, šķiet nav norādīts vēlamais ierīces garums.</w:t>
            </w:r>
          </w:p>
        </w:tc>
        <w:tc>
          <w:tcPr>
            <w:tcW w:w="4962" w:type="dxa"/>
            <w:shd w:val="clear" w:color="auto" w:fill="auto"/>
          </w:tcPr>
          <w:p w14:paraId="339FFEDD" w14:textId="77777777" w:rsidR="00FB6B6B" w:rsidRPr="006D4F9A" w:rsidRDefault="00FB6B6B" w:rsidP="00F6507C">
            <w:pPr>
              <w:ind w:firstLine="323"/>
              <w:jc w:val="both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color w:val="000000"/>
                <w:lang w:val="lv-LV" w:bidi="lo-LA"/>
              </w:rPr>
              <w:t xml:space="preserve">Iepirkuma nolikuma  Tehniskās specifikācijas (iepirkuma nolikuma 1pielikums) 60.pozīcijā </w:t>
            </w:r>
            <w:r w:rsidRPr="006D4F9A">
              <w:rPr>
                <w:rFonts w:ascii="Arial" w:hAnsi="Arial" w:cs="Arial"/>
                <w:color w:val="000000"/>
                <w:lang w:val="lv-LV" w:bidi="lo-LA"/>
              </w:rPr>
              <w:t>SKC-BLOCK kritiena bloķēšanas ierīcei tehniskajā raksturojumā garums netiek norādīts</w:t>
            </w:r>
            <w:r w:rsidRPr="006D4F9A">
              <w:rPr>
                <w:rFonts w:ascii="Arial" w:eastAsia="Calibri" w:hAnsi="Arial" w:cs="Arial"/>
                <w:lang w:val="lv-LV"/>
              </w:rPr>
              <w:t>, jo tas pēc funkcionālā</w:t>
            </w:r>
            <w:r>
              <w:rPr>
                <w:rFonts w:ascii="Arial" w:eastAsia="Calibri" w:hAnsi="Arial" w:cs="Arial"/>
                <w:lang w:val="lv-LV"/>
              </w:rPr>
              <w:t xml:space="preserve"> pielietojuma</w:t>
            </w:r>
            <w:r w:rsidRPr="006D4F9A">
              <w:rPr>
                <w:rFonts w:ascii="Arial" w:eastAsia="Calibri" w:hAnsi="Arial" w:cs="Arial"/>
                <w:lang w:val="lv-LV"/>
              </w:rPr>
              <w:t xml:space="preserve"> ir </w:t>
            </w:r>
            <w:r w:rsidRPr="006D4F9A">
              <w:rPr>
                <w:rFonts w:ascii="Arial" w:hAnsi="Arial" w:cs="Arial"/>
                <w:color w:val="000000"/>
                <w:lang w:val="lv-LV" w:bidi="lo-LA"/>
              </w:rPr>
              <w:t>troses satvērējs, kurš tiek pievienots esošam trošu ceļam</w:t>
            </w:r>
            <w:r>
              <w:rPr>
                <w:rFonts w:ascii="Arial" w:hAnsi="Arial" w:cs="Arial"/>
                <w:color w:val="000000"/>
                <w:lang w:val="lv-LV" w:bidi="lo-LA"/>
              </w:rPr>
              <w:t>.</w:t>
            </w:r>
          </w:p>
        </w:tc>
      </w:tr>
      <w:bookmarkEnd w:id="0"/>
    </w:tbl>
    <w:p w14:paraId="6B5E7EC8" w14:textId="77777777" w:rsidR="0098236C" w:rsidRPr="00FB6B6B" w:rsidRDefault="0098236C" w:rsidP="00FB6B6B">
      <w:pPr>
        <w:rPr>
          <w:lang w:val="lv-LV"/>
        </w:rPr>
      </w:pPr>
    </w:p>
    <w:sectPr w:rsidR="0098236C" w:rsidRPr="00FB6B6B" w:rsidSect="00D238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52"/>
    <w:rsid w:val="00117D8F"/>
    <w:rsid w:val="003204EA"/>
    <w:rsid w:val="00326852"/>
    <w:rsid w:val="00352BA7"/>
    <w:rsid w:val="003D6DFF"/>
    <w:rsid w:val="007836A1"/>
    <w:rsid w:val="0098236C"/>
    <w:rsid w:val="00B511A3"/>
    <w:rsid w:val="00C20434"/>
    <w:rsid w:val="00FB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D2158C"/>
  <w15:chartTrackingRefBased/>
  <w15:docId w15:val="{1A3754B1-9E2E-460C-B9E4-254AD133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1A3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B511A3"/>
    <w:pPr>
      <w:keepNext/>
      <w:outlineLvl w:val="0"/>
    </w:pPr>
    <w:rPr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17D8F"/>
    <w:rPr>
      <w:rFonts w:ascii="Arial" w:hAnsi="Arial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D8F"/>
    <w:rPr>
      <w:rFonts w:ascii="Arial" w:eastAsia="Times New Roman" w:hAnsi="Arial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511A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B511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B511A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511A3"/>
    <w:rPr>
      <w:i/>
      <w:iCs/>
    </w:rPr>
  </w:style>
  <w:style w:type="paragraph" w:styleId="NormalWeb">
    <w:name w:val="Normal (Web)"/>
    <w:basedOn w:val="Normal"/>
    <w:uiPriority w:val="99"/>
    <w:unhideWhenUsed/>
    <w:rsid w:val="00B511A3"/>
    <w:pPr>
      <w:spacing w:before="100" w:beforeAutospacing="1" w:after="100" w:afterAutospacing="1" w:line="254" w:lineRule="auto"/>
    </w:pPr>
    <w:rPr>
      <w:rFonts w:asciiTheme="minorHAnsi" w:hAnsiTheme="minorHAnsi"/>
      <w:sz w:val="22"/>
      <w:szCs w:val="22"/>
      <w:lang w:val="lv-LV"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1154</Words>
  <Characters>658</Characters>
  <Application>Microsoft Office Word</Application>
  <DocSecurity>0</DocSecurity>
  <Lines>5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6</cp:revision>
  <dcterms:created xsi:type="dcterms:W3CDTF">2023-08-07T09:20:00Z</dcterms:created>
  <dcterms:modified xsi:type="dcterms:W3CDTF">2023-08-09T07:43:00Z</dcterms:modified>
</cp:coreProperties>
</file>