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CC2A8" w14:textId="77777777" w:rsidR="001951B9" w:rsidRDefault="001951B9" w:rsidP="001951B9">
      <w:pPr>
        <w:tabs>
          <w:tab w:val="left" w:pos="3760"/>
        </w:tabs>
        <w:ind w:left="-284" w:right="-1044" w:firstLine="4395"/>
        <w:jc w:val="right"/>
        <w:rPr>
          <w:rFonts w:eastAsia="Calibri"/>
          <w:i/>
          <w:szCs w:val="24"/>
          <w:lang w:eastAsia="lv-LV"/>
        </w:rPr>
      </w:pPr>
    </w:p>
    <w:p w14:paraId="52547E2C" w14:textId="77777777" w:rsidR="001951B9" w:rsidRPr="008951BD" w:rsidRDefault="001951B9" w:rsidP="001951B9">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0E794158" w14:textId="31C2B85A" w:rsidR="001951B9" w:rsidRPr="008951BD" w:rsidRDefault="001951B9" w:rsidP="001951B9">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4.oktobra</w:t>
      </w:r>
      <w:r w:rsidRPr="008951BD">
        <w:rPr>
          <w:rFonts w:eastAsia="Arial Unicode MS"/>
          <w:i/>
          <w:szCs w:val="24"/>
          <w:lang w:eastAsia="lv-LV"/>
        </w:rPr>
        <w:t xml:space="preserve"> </w:t>
      </w:r>
    </w:p>
    <w:p w14:paraId="5CCC7AE6" w14:textId="77777777" w:rsidR="001951B9" w:rsidRDefault="001951B9" w:rsidP="001951B9">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2B93B0A8" w14:textId="1773DDDB" w:rsidR="001951B9" w:rsidRDefault="001951B9" w:rsidP="001951B9">
      <w:pPr>
        <w:rPr>
          <w:rFonts w:ascii="Arial" w:hAnsi="Arial" w:cs="Arial"/>
        </w:rPr>
      </w:pPr>
    </w:p>
    <w:p w14:paraId="5312DD8B" w14:textId="15CA062C" w:rsidR="001951B9" w:rsidRDefault="001951B9" w:rsidP="001951B9">
      <w:pPr>
        <w:rPr>
          <w:rFonts w:ascii="Arial" w:hAnsi="Arial" w:cs="Arial"/>
        </w:rPr>
      </w:pPr>
    </w:p>
    <w:p w14:paraId="0EA223C0" w14:textId="77777777" w:rsidR="001951B9" w:rsidRPr="008C7606" w:rsidRDefault="001951B9" w:rsidP="001951B9">
      <w:pPr>
        <w:jc w:val="right"/>
        <w:rPr>
          <w:b/>
          <w:i/>
        </w:rPr>
      </w:pPr>
    </w:p>
    <w:p w14:paraId="7D42486D" w14:textId="77777777" w:rsidR="001951B9" w:rsidRPr="006D0793" w:rsidRDefault="001951B9" w:rsidP="001951B9">
      <w:pPr>
        <w:jc w:val="center"/>
        <w:rPr>
          <w:b/>
        </w:rPr>
      </w:pPr>
      <w:r w:rsidRPr="006D0793">
        <w:rPr>
          <w:b/>
        </w:rPr>
        <w:t>VAS </w:t>
      </w:r>
      <w:r w:rsidRPr="006D0793">
        <w:rPr>
          <w:b/>
          <w:color w:val="222222"/>
        </w:rPr>
        <w:t>„</w:t>
      </w:r>
      <w:r w:rsidRPr="006D0793">
        <w:rPr>
          <w:b/>
        </w:rPr>
        <w:t>Latvijas dzelzceļš”</w:t>
      </w:r>
    </w:p>
    <w:p w14:paraId="72E17FF8" w14:textId="77777777" w:rsidR="001951B9" w:rsidRPr="006D0793" w:rsidRDefault="001951B9" w:rsidP="001951B9">
      <w:pPr>
        <w:ind w:left="142" w:right="-1"/>
        <w:jc w:val="center"/>
        <w:rPr>
          <w:b/>
        </w:rPr>
      </w:pPr>
      <w:r w:rsidRPr="006D0793">
        <w:rPr>
          <w:b/>
        </w:rPr>
        <w:t>sarunu procedūras ar publikāciju</w:t>
      </w:r>
    </w:p>
    <w:p w14:paraId="4FF74F65" w14:textId="77777777" w:rsidR="001951B9" w:rsidRPr="006D0793" w:rsidRDefault="001951B9" w:rsidP="001951B9">
      <w:pPr>
        <w:ind w:left="284" w:right="282"/>
        <w:jc w:val="center"/>
        <w:rPr>
          <w:b/>
          <w:bCs/>
          <w:color w:val="222222"/>
          <w:szCs w:val="24"/>
        </w:rPr>
      </w:pPr>
      <w:r w:rsidRPr="006D0793">
        <w:rPr>
          <w:b/>
          <w:bCs/>
          <w:color w:val="222222"/>
          <w:szCs w:val="24"/>
        </w:rPr>
        <w:t>„</w:t>
      </w:r>
      <w:r w:rsidRPr="006D0793">
        <w:rPr>
          <w:b/>
          <w:bCs/>
          <w:szCs w:val="24"/>
        </w:rPr>
        <w:t>Dabasgāzes piegāde „Latvijas dzelzceļš” koncerna vajadzībām</w:t>
      </w:r>
      <w:r w:rsidRPr="006D0793">
        <w:rPr>
          <w:b/>
          <w:bCs/>
          <w:color w:val="222222"/>
          <w:szCs w:val="24"/>
        </w:rPr>
        <w:t>”</w:t>
      </w:r>
    </w:p>
    <w:p w14:paraId="5DADAABC" w14:textId="77777777" w:rsidR="001951B9" w:rsidRPr="001E3C08" w:rsidRDefault="001951B9" w:rsidP="001951B9">
      <w:pPr>
        <w:ind w:left="284" w:right="282"/>
        <w:jc w:val="center"/>
        <w:rPr>
          <w:bCs/>
          <w:color w:val="222222"/>
          <w:szCs w:val="24"/>
        </w:rPr>
      </w:pPr>
      <w:r w:rsidRPr="001E3C08">
        <w:rPr>
          <w:bCs/>
          <w:szCs w:val="24"/>
        </w:rPr>
        <w:t>(turpmāk – sarunu procedūra)</w:t>
      </w:r>
    </w:p>
    <w:p w14:paraId="6A7BCE5A" w14:textId="77777777" w:rsidR="001951B9" w:rsidRPr="00E57F1F" w:rsidRDefault="001951B9" w:rsidP="001951B9">
      <w:pPr>
        <w:ind w:left="284" w:right="282"/>
        <w:jc w:val="center"/>
        <w:rPr>
          <w:rFonts w:eastAsia="Calibri"/>
          <w:b/>
          <w:highlight w:val="yellow"/>
        </w:rPr>
      </w:pPr>
    </w:p>
    <w:p w14:paraId="2AA84DA7" w14:textId="77777777" w:rsidR="001951B9" w:rsidRPr="006D0793" w:rsidRDefault="001951B9" w:rsidP="001951B9">
      <w:pPr>
        <w:ind w:left="284" w:right="282"/>
        <w:jc w:val="center"/>
        <w:rPr>
          <w:rFonts w:eastAsia="Calibri"/>
          <w:b/>
        </w:rPr>
      </w:pPr>
      <w:r w:rsidRPr="006D0793">
        <w:rPr>
          <w:rFonts w:eastAsia="Calibri"/>
          <w:b/>
        </w:rPr>
        <w:t>Skaidrojums Nr.1</w:t>
      </w:r>
    </w:p>
    <w:p w14:paraId="15B7DC48" w14:textId="77777777" w:rsidR="001951B9" w:rsidRPr="00E57F1F" w:rsidRDefault="001951B9" w:rsidP="001951B9">
      <w:pPr>
        <w:ind w:left="284" w:right="282"/>
        <w:jc w:val="center"/>
        <w:rPr>
          <w:rFonts w:eastAsia="Calibri"/>
          <w:b/>
          <w:highlight w:val="yellow"/>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4678"/>
      </w:tblGrid>
      <w:tr w:rsidR="001951B9" w:rsidRPr="005B77F6" w14:paraId="4B6F75E5" w14:textId="77777777" w:rsidTr="001951B9">
        <w:trPr>
          <w:trHeight w:val="655"/>
        </w:trPr>
        <w:tc>
          <w:tcPr>
            <w:tcW w:w="851" w:type="dxa"/>
            <w:shd w:val="clear" w:color="auto" w:fill="FFF2CC"/>
            <w:vAlign w:val="center"/>
          </w:tcPr>
          <w:p w14:paraId="498A7D1D" w14:textId="77777777" w:rsidR="001951B9" w:rsidRPr="005B77F6" w:rsidRDefault="001951B9" w:rsidP="00FA0444">
            <w:pPr>
              <w:contextualSpacing/>
              <w:jc w:val="center"/>
              <w:rPr>
                <w:rFonts w:eastAsia="Calibri"/>
                <w:b/>
                <w:szCs w:val="24"/>
              </w:rPr>
            </w:pPr>
            <w:r w:rsidRPr="005B77F6">
              <w:rPr>
                <w:rFonts w:eastAsia="Calibri"/>
                <w:b/>
                <w:szCs w:val="24"/>
              </w:rPr>
              <w:t>Nr.</w:t>
            </w:r>
          </w:p>
          <w:p w14:paraId="60EE9BE6" w14:textId="77777777" w:rsidR="001951B9" w:rsidRPr="005B77F6" w:rsidRDefault="001951B9" w:rsidP="00FA0444">
            <w:pPr>
              <w:contextualSpacing/>
              <w:jc w:val="center"/>
              <w:rPr>
                <w:rFonts w:eastAsia="Calibri"/>
                <w:b/>
                <w:szCs w:val="24"/>
              </w:rPr>
            </w:pPr>
            <w:r w:rsidRPr="005B77F6">
              <w:rPr>
                <w:rFonts w:eastAsia="Calibri"/>
                <w:b/>
                <w:szCs w:val="24"/>
              </w:rPr>
              <w:t>p.k.</w:t>
            </w:r>
          </w:p>
        </w:tc>
        <w:tc>
          <w:tcPr>
            <w:tcW w:w="4678" w:type="dxa"/>
            <w:shd w:val="clear" w:color="auto" w:fill="FFF2CC"/>
            <w:vAlign w:val="center"/>
          </w:tcPr>
          <w:p w14:paraId="3CDFA2A4" w14:textId="77777777" w:rsidR="001951B9" w:rsidRPr="005B77F6" w:rsidRDefault="001951B9" w:rsidP="00FA0444">
            <w:pPr>
              <w:contextualSpacing/>
              <w:jc w:val="center"/>
              <w:rPr>
                <w:rFonts w:eastAsia="Calibri"/>
                <w:b/>
                <w:i/>
                <w:szCs w:val="24"/>
              </w:rPr>
            </w:pPr>
            <w:r w:rsidRPr="005B77F6">
              <w:rPr>
                <w:rFonts w:eastAsia="Calibri"/>
                <w:b/>
                <w:i/>
                <w:szCs w:val="24"/>
              </w:rPr>
              <w:t>Jautājums</w:t>
            </w:r>
          </w:p>
        </w:tc>
        <w:tc>
          <w:tcPr>
            <w:tcW w:w="4678" w:type="dxa"/>
            <w:shd w:val="clear" w:color="auto" w:fill="FFF2CC"/>
            <w:vAlign w:val="center"/>
          </w:tcPr>
          <w:p w14:paraId="6A6F507B" w14:textId="77777777" w:rsidR="001951B9" w:rsidRPr="005B77F6" w:rsidRDefault="001951B9" w:rsidP="00FA0444">
            <w:pPr>
              <w:contextualSpacing/>
              <w:jc w:val="center"/>
              <w:rPr>
                <w:rFonts w:eastAsia="Calibri"/>
                <w:b/>
                <w:i/>
                <w:szCs w:val="24"/>
              </w:rPr>
            </w:pPr>
            <w:r w:rsidRPr="005B77F6">
              <w:rPr>
                <w:rFonts w:eastAsia="Calibri"/>
                <w:b/>
                <w:i/>
                <w:szCs w:val="24"/>
              </w:rPr>
              <w:t>Atbilde</w:t>
            </w:r>
          </w:p>
        </w:tc>
      </w:tr>
      <w:tr w:rsidR="001951B9" w:rsidRPr="005B77F6" w14:paraId="590EB516" w14:textId="77777777" w:rsidTr="001951B9">
        <w:trPr>
          <w:trHeight w:val="839"/>
        </w:trPr>
        <w:tc>
          <w:tcPr>
            <w:tcW w:w="851" w:type="dxa"/>
            <w:shd w:val="clear" w:color="auto" w:fill="auto"/>
          </w:tcPr>
          <w:p w14:paraId="0E0AABA9" w14:textId="77777777" w:rsidR="001951B9" w:rsidRPr="005B77F6" w:rsidRDefault="001951B9" w:rsidP="00FA0444">
            <w:pPr>
              <w:contextualSpacing/>
              <w:jc w:val="center"/>
              <w:rPr>
                <w:rFonts w:eastAsia="Calibri"/>
                <w:szCs w:val="24"/>
              </w:rPr>
            </w:pPr>
            <w:r w:rsidRPr="005B77F6">
              <w:rPr>
                <w:rFonts w:eastAsia="Calibri"/>
                <w:szCs w:val="24"/>
              </w:rPr>
              <w:t>1.</w:t>
            </w:r>
          </w:p>
        </w:tc>
        <w:tc>
          <w:tcPr>
            <w:tcW w:w="4678" w:type="dxa"/>
            <w:shd w:val="clear" w:color="auto" w:fill="auto"/>
          </w:tcPr>
          <w:p w14:paraId="4A682139" w14:textId="77777777" w:rsidR="001951B9" w:rsidRPr="005B77F6" w:rsidRDefault="001951B9" w:rsidP="00FA0444">
            <w:pPr>
              <w:pStyle w:val="Sarakstarindkopa"/>
              <w:spacing w:line="276" w:lineRule="auto"/>
              <w:ind w:left="0"/>
              <w:contextualSpacing w:val="0"/>
              <w:jc w:val="both"/>
              <w:rPr>
                <w:b/>
                <w:sz w:val="24"/>
                <w:szCs w:val="24"/>
                <w:u w:val="single"/>
              </w:rPr>
            </w:pPr>
            <w:r w:rsidRPr="005B77F6">
              <w:rPr>
                <w:sz w:val="24"/>
                <w:szCs w:val="24"/>
              </w:rPr>
              <w:t xml:space="preserve">[1] Nolikuma 1.5. punkts nosaka, ka Pretendenta piedāvājuma derīguma termiņš ir 30 (trīsdesmit) dienas no piedāvājuma atvēršanas dienas.  Ievērojot iepirkuma priekšmeta specifiku, dabasgāzes cenas regulāru un augstu svārstību dinamiku no Pretendenta neatkarīgu iemeslu dēļ pat dienu griezumā, kā arī ņemot vērā apstākli, ka plānotais dabasgāzes tirdzniecības līguma periods paredzēts no 2021.gada 1.novembra līdz 2022.gada 31.oktobrim, kur saskaņā ar 2017.gada 7.februāra noteikumu Nr.78 “Dabasgāzes tirdzniecības un lietošanas noteikumi” 55.punktu tirgotāja maiņa veicama līdz iepriekšējā mēneša piecpadsmitajam datumam t.i. Pasūtītājam jaunais līgums būtu jānoslēdz un par tirgotāja maiņu jāpaziņo līdz 2021.gada 15.oktobrim, ieskaitot, </w:t>
            </w:r>
            <w:r w:rsidRPr="005B77F6">
              <w:rPr>
                <w:sz w:val="24"/>
                <w:szCs w:val="24"/>
                <w:u w:val="single"/>
              </w:rPr>
              <w:t xml:space="preserve">lūdzam noteikt īsāku piedāvājuma derīguma termiņu atbilstoši tam, kāds objektīvi nepieciešams piedāvājumu izvērtēšanai,  uzvarētāja paziņošanai un līguma noslēgšanai. </w:t>
            </w:r>
          </w:p>
          <w:p w14:paraId="17CF75B4" w14:textId="77777777" w:rsidR="001951B9" w:rsidRPr="005B77F6" w:rsidRDefault="001951B9" w:rsidP="00FA0444">
            <w:pPr>
              <w:pStyle w:val="Sarakstarindkopa"/>
              <w:spacing w:line="276" w:lineRule="auto"/>
              <w:ind w:left="0"/>
              <w:contextualSpacing w:val="0"/>
              <w:jc w:val="both"/>
              <w:rPr>
                <w:b/>
                <w:sz w:val="24"/>
                <w:szCs w:val="24"/>
              </w:rPr>
            </w:pPr>
            <w:r w:rsidRPr="005B77F6">
              <w:rPr>
                <w:sz w:val="24"/>
                <w:szCs w:val="24"/>
              </w:rPr>
              <w:t xml:space="preserve">Vienlaikus, ņemot vērā iepriekš minēto augsto cenu svārstību dinamiku, lūdzam svītrot no Nolikuma prasību iesniegt Piedāvājuma nodrošinājumu. Vēršam uzmanību uz to, ka šī brīža tirgus situācijā, minētā prasība būtiski sašaurina Pretendentu loku, kuri ir gatavi iesniegt piedāvājumus ar Piedāvājuma </w:t>
            </w:r>
            <w:r w:rsidRPr="005B77F6">
              <w:rPr>
                <w:sz w:val="24"/>
                <w:szCs w:val="24"/>
              </w:rPr>
              <w:lastRenderedPageBreak/>
              <w:t>nodrošināšanas nosacījumiem. Praksē pēdējā laikā ir bijis arī tāds iepirkums, kurā savu piedāvājumu neiesniedz neviens pretendents un pasūtītājs ir spiests izsludināt jaunu iepirkuma procedūru, vienlaikus lai nodrošinātu vismaz kāda piedāvājuma saņemšanas iespēju, izslēdzot Piedāvājuma nodrošinājuma iesniegšanas prasību.</w:t>
            </w:r>
          </w:p>
          <w:p w14:paraId="0CE346BF" w14:textId="77777777" w:rsidR="001951B9" w:rsidRPr="005B77F6" w:rsidRDefault="001951B9" w:rsidP="00FA0444">
            <w:pPr>
              <w:pStyle w:val="Sarakstarindkopa"/>
              <w:spacing w:line="276" w:lineRule="auto"/>
              <w:ind w:left="0"/>
              <w:contextualSpacing w:val="0"/>
              <w:jc w:val="both"/>
              <w:rPr>
                <w:b/>
                <w:sz w:val="24"/>
                <w:szCs w:val="24"/>
              </w:rPr>
            </w:pPr>
            <w:r w:rsidRPr="005B77F6">
              <w:rPr>
                <w:sz w:val="24"/>
                <w:szCs w:val="24"/>
              </w:rPr>
              <w:t>[2] Civiltiesisku darījumu pamata būtība atbilstoši Civillikuma 1587. pantam ir vērsta uz abu līdzēju saistību labticīgi izpildīt apsolīto, tādējādi abām pusēm gūstot labumu no uzņemtās saistības un uzņemoties riskus, kas varētu būt saistīti ar saistības izpildes grūtībām. Tiesiskais un ekonomiskais līdzsvars, kā arī savstarpēji sabalansētas pušu tiesības un pienākumi ir civiltiesisku attiecību nodibināšanas būtisks pamatnosacījums.</w:t>
            </w:r>
          </w:p>
          <w:p w14:paraId="061DC463" w14:textId="77777777" w:rsidR="001951B9" w:rsidRPr="005B77F6" w:rsidRDefault="001951B9" w:rsidP="00FA0444">
            <w:pPr>
              <w:pStyle w:val="Sarakstarindkopa"/>
              <w:spacing w:line="276" w:lineRule="auto"/>
              <w:ind w:left="0"/>
              <w:contextualSpacing w:val="0"/>
              <w:jc w:val="both"/>
              <w:rPr>
                <w:b/>
                <w:sz w:val="24"/>
                <w:szCs w:val="24"/>
              </w:rPr>
            </w:pPr>
            <w:r w:rsidRPr="005B77F6">
              <w:rPr>
                <w:sz w:val="24"/>
                <w:szCs w:val="24"/>
              </w:rPr>
              <w:t xml:space="preserve">Vēršam uzmanību, ka, dabasgāzes tirgū cenu svārstības ir biežas (pat stundu griezumā) un ļoti augstas, jo dabasgāzes cenu ietekmē daudzi ārējie faktori, kas ne vienmēr ir prognozējami.  Aprēķinot un garantējot Pasūtītājam fiksētu dabasgāzes cenu iepirkuma priekšmetam visā iepirkuma nolikumā noteiktajā termiņā, Pretendents veic virkni darbību (tajā skaitā, nepieciešamais dabasgāzes apjoms tiek nopirkts, iesūknēts IPGK, darījums tiek </w:t>
            </w:r>
            <w:proofErr w:type="spellStart"/>
            <w:r w:rsidRPr="005B77F6">
              <w:rPr>
                <w:sz w:val="24"/>
                <w:szCs w:val="24"/>
              </w:rPr>
              <w:t>hedžēts</w:t>
            </w:r>
            <w:proofErr w:type="spellEnd"/>
            <w:r w:rsidRPr="005B77F6">
              <w:rPr>
                <w:sz w:val="24"/>
                <w:szCs w:val="24"/>
              </w:rPr>
              <w:t xml:space="preserve">), lai nodrošinātu attiecīgā dabasgāzes daudzuma piegādes iespējamību par piedāvāto cenu visu periodu. Minēto apstākļu dēļ gadījumā, ja Pasūtītājs Iepirkuma līguma projektā paredzētā līguma izpildes termiņa laikā atkāpjas no noslēgtā līguma, Pretendentam viennozīmīgi tiek nodarīti zaudējumi. Ņemot vērā faktu, ka attiecīgais dabasgāzes daudzums jau ir nopirkts vai garantēts Pasūtītājam, kā arī veiktas citas darbības nemainīgas cenas nodrošināšanai, šo zaudējumu apmēru ir iespējams paredzēt jau līguma noslēgšanas brīdī un tas sastāda aptuveni 30% no līguma laikā plānotā, bet nenopirktā dabasgāzes </w:t>
            </w:r>
            <w:r w:rsidRPr="005B77F6">
              <w:rPr>
                <w:sz w:val="24"/>
                <w:szCs w:val="24"/>
              </w:rPr>
              <w:lastRenderedPageBreak/>
              <w:t>apjoma vērtības. Arī dabasgāzes tirgu regulējošie normatīvie akti paredz regulējumu attiecībā uz līguma pirmstermiņa izbeigšanas maksu.</w:t>
            </w:r>
          </w:p>
          <w:p w14:paraId="3F03C9E1" w14:textId="77777777" w:rsidR="001951B9" w:rsidRPr="005B77F6" w:rsidRDefault="001951B9" w:rsidP="00FA0444">
            <w:pPr>
              <w:pStyle w:val="Sarakstarindkopa"/>
              <w:spacing w:line="276" w:lineRule="auto"/>
              <w:ind w:left="0"/>
              <w:contextualSpacing w:val="0"/>
              <w:jc w:val="both"/>
              <w:rPr>
                <w:b/>
                <w:sz w:val="24"/>
                <w:szCs w:val="24"/>
              </w:rPr>
            </w:pPr>
            <w:r w:rsidRPr="005B77F6">
              <w:rPr>
                <w:sz w:val="24"/>
                <w:szCs w:val="24"/>
              </w:rPr>
              <w:t xml:space="preserve">Ievērojot visu iepriekš minēto, lai nodrošinātu taisnīgu balansu starp Pasūtītāja un Pretendenta tiesībām un pienākumiem, lūdzam paredzēt Nolikuma 5.pielikumā </w:t>
            </w:r>
            <w:r w:rsidRPr="005B77F6">
              <w:rPr>
                <w:i/>
                <w:sz w:val="24"/>
                <w:szCs w:val="24"/>
              </w:rPr>
              <w:t>Līgumā par dabasgāzes piegādi</w:t>
            </w:r>
            <w:r w:rsidRPr="005B77F6">
              <w:rPr>
                <w:sz w:val="24"/>
                <w:szCs w:val="24"/>
              </w:rPr>
              <w:t xml:space="preserve"> līguma pirmstermiņa izbeigšanas maksu iepriekš minēto zaudējumu apmērā.</w:t>
            </w:r>
          </w:p>
        </w:tc>
        <w:tc>
          <w:tcPr>
            <w:tcW w:w="4678" w:type="dxa"/>
            <w:shd w:val="clear" w:color="auto" w:fill="auto"/>
          </w:tcPr>
          <w:p w14:paraId="0F649442" w14:textId="2790926D" w:rsidR="001951B9" w:rsidRPr="00BD76E7" w:rsidRDefault="001951B9" w:rsidP="00FA0444">
            <w:pPr>
              <w:contextualSpacing/>
              <w:rPr>
                <w:szCs w:val="24"/>
                <w:lang w:eastAsia="lv-LV"/>
              </w:rPr>
            </w:pPr>
            <w:r w:rsidRPr="005B77F6">
              <w:rPr>
                <w:szCs w:val="24"/>
              </w:rPr>
              <w:lastRenderedPageBreak/>
              <w:t xml:space="preserve">[1] </w:t>
            </w:r>
            <w:r>
              <w:rPr>
                <w:szCs w:val="24"/>
              </w:rPr>
              <w:t xml:space="preserve">Skaidrojam, ka attiecībā uz sarunu procedūras nolikumā paredzētā piedāvājuma nodrošinājuma iesniegšanu, ņemot vērā sarunu procedūras priekšmeta nopietnību un mainīgās dabasgāzes tirgus cenu svārstības, pasūtītājam/pircējam ir nepieciešama garantija, ka pretendents neatsauks sarunu procedūrā iesniegto piedāvājumu līdz iepirkuma līguma noslēgšanai, ievērojot sarunu procedūras nolikumā noteikto piedāvājuma derīguma termiņu. Attiecīgi </w:t>
            </w:r>
            <w:r w:rsidRPr="00BD76E7">
              <w:rPr>
                <w:szCs w:val="24"/>
              </w:rPr>
              <w:t xml:space="preserve">piedāvājuma nodrošinājuma iesniegšanas prasība pilnībā netiek izslēgta no sarunu procedūras nolikuma, bet piedāvājuma nodrošinājuma summa tiek samazināta </w:t>
            </w:r>
            <w:r>
              <w:rPr>
                <w:szCs w:val="24"/>
              </w:rPr>
              <w:t>uz</w:t>
            </w:r>
            <w:r w:rsidRPr="00BD76E7">
              <w:rPr>
                <w:szCs w:val="24"/>
              </w:rPr>
              <w:t xml:space="preserve"> pusi. </w:t>
            </w:r>
            <w:r w:rsidRPr="00BD76E7">
              <w:rPr>
                <w:szCs w:val="24"/>
                <w:lang w:eastAsia="lv-LV"/>
              </w:rPr>
              <w:t xml:space="preserve">Lūdzam skatīt sarunu procedūras </w:t>
            </w:r>
            <w:r w:rsidR="0022584E">
              <w:rPr>
                <w:szCs w:val="24"/>
                <w:lang w:eastAsia="lv-LV"/>
              </w:rPr>
              <w:t>G</w:t>
            </w:r>
            <w:r w:rsidRPr="00BD76E7">
              <w:rPr>
                <w:szCs w:val="24"/>
                <w:lang w:eastAsia="lv-LV"/>
              </w:rPr>
              <w:t>rozījumus Nr.1.</w:t>
            </w:r>
          </w:p>
          <w:p w14:paraId="20986173" w14:textId="77777777" w:rsidR="001951B9" w:rsidRPr="00BD76E7" w:rsidRDefault="001951B9" w:rsidP="00FA0444">
            <w:pPr>
              <w:rPr>
                <w:sz w:val="22"/>
              </w:rPr>
            </w:pPr>
            <w:r w:rsidRPr="00BD76E7">
              <w:rPr>
                <w:szCs w:val="24"/>
              </w:rPr>
              <w:t xml:space="preserve">[2] </w:t>
            </w:r>
            <w:r w:rsidRPr="00BD76E7">
              <w:t xml:space="preserve">Skaidrojam, ka sarunu procedūras nolikuma līguma projekta 8.3.punktā ir noteikti četri gadījumi, kuriem iestājoties lietotājam ir tiesības vienpusēji izbeigt līgumu. Vēršam uzmanību, ka sarunu procedūras nolikuma līguma projekta 8.3.punktā noteikto apstākļu iestāšanās ir atkarīga no paša dabasgāzes tirgotāja, proti, saistīta ar tirgotāja labticīgu un  pienācīgu līguma izpildi atbilstoši līguma projektā noteiktajiem nosacījumiem. Sarunu procedūras nolikuma līguma projekta 8.3.punktā minēto gadījumu iestāšanās nav saistīta ar ieinteresētā piegādātāja jautājuma otrajā sadaļā minēto, kas ir uzskatāmi par ārējiem faktoriem un tie ir viennozīmīgi saistīti ar dabasgāzes apjoma un tirgus cenu svārstību izmaiņām, uz kuru pamata lietotājam vai </w:t>
            </w:r>
            <w:r w:rsidRPr="00BD76E7">
              <w:lastRenderedPageBreak/>
              <w:t>tirgotājam nav tiesību vienpusēji izbeigt līgumu. Ievērojot iepriekš minēto, skaidrojam, ka sarunu procedūras līguma projekts netiek grozīts.</w:t>
            </w:r>
          </w:p>
          <w:p w14:paraId="10DF3878" w14:textId="26C0A4E4" w:rsidR="001951B9" w:rsidRPr="00F970EB" w:rsidRDefault="001951B9" w:rsidP="00FA0444">
            <w:pPr>
              <w:contextualSpacing/>
              <w:rPr>
                <w:szCs w:val="24"/>
                <w:lang w:eastAsia="lv-LV"/>
              </w:rPr>
            </w:pPr>
            <w:r w:rsidRPr="00F970EB">
              <w:rPr>
                <w:szCs w:val="24"/>
                <w:lang w:eastAsia="lv-LV"/>
              </w:rPr>
              <w:t xml:space="preserve">Vienlaikus lūdzam skatīt sarunu procedūras </w:t>
            </w:r>
            <w:r w:rsidR="00D82C5C">
              <w:rPr>
                <w:szCs w:val="24"/>
                <w:lang w:eastAsia="lv-LV"/>
              </w:rPr>
              <w:t>G</w:t>
            </w:r>
            <w:r w:rsidRPr="00F970EB">
              <w:rPr>
                <w:szCs w:val="24"/>
                <w:lang w:eastAsia="lv-LV"/>
              </w:rPr>
              <w:t>rozījumus Nr.1.</w:t>
            </w:r>
          </w:p>
          <w:p w14:paraId="5E861634" w14:textId="77777777" w:rsidR="001951B9" w:rsidRPr="00F970EB" w:rsidRDefault="001951B9" w:rsidP="00FA0444">
            <w:pPr>
              <w:pStyle w:val="Sarakstarindkopa"/>
              <w:tabs>
                <w:tab w:val="left" w:pos="567"/>
              </w:tabs>
              <w:ind w:left="0"/>
              <w:jc w:val="both"/>
              <w:rPr>
                <w:bCs/>
                <w:sz w:val="24"/>
                <w:szCs w:val="24"/>
                <w:highlight w:val="yellow"/>
              </w:rPr>
            </w:pPr>
          </w:p>
        </w:tc>
      </w:tr>
    </w:tbl>
    <w:p w14:paraId="2445F1EC" w14:textId="77777777" w:rsidR="001951B9" w:rsidRPr="00E57F1F" w:rsidRDefault="001951B9" w:rsidP="001951B9">
      <w:pPr>
        <w:rPr>
          <w:szCs w:val="24"/>
          <w:highlight w:val="yellow"/>
        </w:rPr>
      </w:pPr>
    </w:p>
    <w:p w14:paraId="2A5EB7EA" w14:textId="77777777" w:rsidR="001951B9" w:rsidRDefault="001951B9" w:rsidP="001951B9">
      <w:pPr>
        <w:rPr>
          <w:b/>
          <w:i/>
          <w:highlight w:val="yellow"/>
        </w:rPr>
      </w:pPr>
    </w:p>
    <w:p w14:paraId="0EC242EF" w14:textId="77777777" w:rsidR="001951B9" w:rsidRDefault="001951B9" w:rsidP="001951B9">
      <w:pPr>
        <w:jc w:val="right"/>
        <w:rPr>
          <w:b/>
          <w:i/>
        </w:rPr>
      </w:pPr>
    </w:p>
    <w:p w14:paraId="4D8E83C5" w14:textId="77777777" w:rsidR="001951B9" w:rsidRDefault="001951B9" w:rsidP="001951B9">
      <w:pPr>
        <w:jc w:val="right"/>
        <w:rPr>
          <w:b/>
          <w:i/>
        </w:rPr>
      </w:pPr>
    </w:p>
    <w:p w14:paraId="6F61F833" w14:textId="77777777" w:rsidR="001951B9" w:rsidRDefault="001951B9" w:rsidP="001951B9">
      <w:pPr>
        <w:jc w:val="right"/>
        <w:rPr>
          <w:b/>
          <w:i/>
        </w:rPr>
      </w:pPr>
    </w:p>
    <w:p w14:paraId="1C7BC25A" w14:textId="77777777" w:rsidR="001951B9" w:rsidRDefault="001951B9" w:rsidP="001951B9">
      <w:pPr>
        <w:jc w:val="right"/>
        <w:rPr>
          <w:b/>
          <w:i/>
        </w:rPr>
      </w:pPr>
    </w:p>
    <w:p w14:paraId="025B9650" w14:textId="77777777" w:rsidR="001951B9" w:rsidRDefault="001951B9" w:rsidP="001951B9">
      <w:pPr>
        <w:rPr>
          <w:rFonts w:ascii="Arial" w:hAnsi="Arial" w:cs="Arial"/>
        </w:rPr>
      </w:pPr>
    </w:p>
    <w:p w14:paraId="5A316128"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B9"/>
    <w:rsid w:val="001951B9"/>
    <w:rsid w:val="0022584E"/>
    <w:rsid w:val="003204EA"/>
    <w:rsid w:val="00685B63"/>
    <w:rsid w:val="0098236C"/>
    <w:rsid w:val="00C20434"/>
    <w:rsid w:val="00D82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64A2"/>
  <w15:chartTrackingRefBased/>
  <w15:docId w15:val="{A4211E46-A3D2-4B7F-A60E-1F5C018D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51B9"/>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Citation List"/>
    <w:basedOn w:val="Parasts"/>
    <w:link w:val="SarakstarindkopaRakstz"/>
    <w:uiPriority w:val="34"/>
    <w:qFormat/>
    <w:rsid w:val="001951B9"/>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1951B9"/>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3375</Words>
  <Characters>1925</Characters>
  <Application>Microsoft Office Word</Application>
  <DocSecurity>0</DocSecurity>
  <Lines>16</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2021-10-04T13:12:00Z</dcterms:created>
  <dcterms:modified xsi:type="dcterms:W3CDTF">2021-10-04T13:12:00Z</dcterms:modified>
</cp:coreProperties>
</file>