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9AD4" w14:textId="77777777" w:rsidR="000F3E5E" w:rsidRPr="006746E4" w:rsidRDefault="000F3E5E" w:rsidP="000F3E5E">
      <w:pPr>
        <w:spacing w:before="0" w:line="240" w:lineRule="auto"/>
        <w:jc w:val="center"/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  <w:lang w:val="lv-LV"/>
        </w:rPr>
      </w:pPr>
    </w:p>
    <w:p w14:paraId="015E6A6C" w14:textId="77777777" w:rsidR="001656EF" w:rsidRPr="006746E4" w:rsidRDefault="00B94178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FC0FDEC" wp14:editId="79D9FF9A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685155" cy="838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5594" w14:textId="77777777" w:rsidR="000F3E5E" w:rsidRDefault="000F3E5E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53F2390E" w14:textId="77777777" w:rsidR="00727D37" w:rsidRDefault="00727D37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7668F687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1D2BB96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D1BC35B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42B2794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4607850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135E405" w14:textId="769A3141" w:rsidR="00727D37" w:rsidRPr="00ED1C9C" w:rsidRDefault="00727D37" w:rsidP="00727D3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 xml:space="preserve">UZAICINĀJUMS </w:t>
      </w:r>
      <w:r w:rsidRPr="005C3EFE">
        <w:rPr>
          <w:rFonts w:cs="Arial"/>
          <w:b/>
          <w:sz w:val="22"/>
          <w:szCs w:val="22"/>
          <w:lang w:val="lv-LV" w:eastAsia="lv-LV"/>
        </w:rPr>
        <w:t>PIEDĀVĀJUMA IESNIEGŠANAI</w:t>
      </w:r>
      <w:r w:rsidRPr="00ED1C9C">
        <w:rPr>
          <w:rFonts w:cs="Arial"/>
          <w:b/>
          <w:sz w:val="22"/>
          <w:szCs w:val="22"/>
          <w:lang w:val="lv-LV" w:eastAsia="lv-LV"/>
        </w:rPr>
        <w:t xml:space="preserve"> </w:t>
      </w:r>
      <w:r>
        <w:rPr>
          <w:rFonts w:cs="Arial"/>
          <w:b/>
          <w:sz w:val="22"/>
          <w:szCs w:val="22"/>
          <w:lang w:val="lv-LV" w:eastAsia="lv-LV"/>
        </w:rPr>
        <w:t>TIRGUS IZPĒTEI</w:t>
      </w:r>
    </w:p>
    <w:p w14:paraId="3B797AB2" w14:textId="77777777" w:rsidR="00727D37" w:rsidRDefault="00727D37" w:rsidP="00727D3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A1A9969" w14:textId="56412847" w:rsidR="006C36E5" w:rsidRDefault="006C36E5" w:rsidP="006C36E5">
      <w:pPr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lang w:val="lv-LV"/>
        </w:rPr>
        <w:t xml:space="preserve">VAS „Latvijas dzelzceļš” </w:t>
      </w:r>
      <w:r>
        <w:rPr>
          <w:rFonts w:cs="Arial"/>
          <w:color w:val="000000"/>
          <w:sz w:val="22"/>
          <w:szCs w:val="22"/>
          <w:lang w:val="lv-LV"/>
        </w:rPr>
        <w:t xml:space="preserve">Elektrotehniskā pārvalde </w:t>
      </w:r>
      <w:r w:rsidRPr="00243394">
        <w:rPr>
          <w:rFonts w:cs="Arial"/>
          <w:color w:val="000000"/>
          <w:sz w:val="22"/>
          <w:szCs w:val="22"/>
          <w:lang w:val="lv-LV"/>
        </w:rPr>
        <w:t>vei</w:t>
      </w:r>
      <w:r>
        <w:rPr>
          <w:rFonts w:cs="Arial"/>
          <w:color w:val="000000"/>
          <w:sz w:val="22"/>
          <w:szCs w:val="22"/>
          <w:lang w:val="lv-LV"/>
        </w:rPr>
        <w:t>c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tirgus izpēti </w:t>
      </w:r>
      <w:bookmarkStart w:id="0" w:name="_Hlk81990976"/>
      <w:r w:rsidRPr="00243394">
        <w:rPr>
          <w:rFonts w:cs="Arial"/>
          <w:color w:val="000000"/>
          <w:sz w:val="22"/>
          <w:szCs w:val="22"/>
          <w:lang w:val="lv-LV"/>
        </w:rPr>
        <w:t>“</w:t>
      </w:r>
      <w:bookmarkStart w:id="1" w:name="_Hlk169532708"/>
      <w:r w:rsidR="00514CEC" w:rsidRPr="00514CEC">
        <w:rPr>
          <w:rFonts w:cs="Arial"/>
          <w:b/>
          <w:sz w:val="22"/>
          <w:szCs w:val="22"/>
          <w:lang w:val="lv-LV"/>
        </w:rPr>
        <w:t>Dārgmetālu saturošo metāllūžņu pārdošana</w:t>
      </w:r>
      <w:bookmarkEnd w:id="1"/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0"/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>(turpmāk – tirgus izpēte).</w:t>
      </w:r>
    </w:p>
    <w:p w14:paraId="597C1481" w14:textId="45FA8D6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 w:rsidRPr="00176C94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7055AE">
        <w:rPr>
          <w:rFonts w:cs="Arial"/>
          <w:color w:val="000000"/>
          <w:sz w:val="22"/>
          <w:szCs w:val="22"/>
          <w:lang w:val="lv-LV"/>
        </w:rPr>
        <w:t xml:space="preserve">saskaņā ar </w:t>
      </w:r>
      <w:r w:rsidR="00514CEC" w:rsidRPr="007055AE">
        <w:rPr>
          <w:rFonts w:cs="Arial"/>
          <w:color w:val="000000"/>
          <w:sz w:val="22"/>
          <w:szCs w:val="22"/>
          <w:lang w:val="lv-LV"/>
        </w:rPr>
        <w:t>specifikāciju (1.pielikums)</w:t>
      </w:r>
      <w:r w:rsidRPr="007055AE">
        <w:rPr>
          <w:rFonts w:cs="Arial"/>
          <w:color w:val="000000"/>
          <w:sz w:val="22"/>
          <w:szCs w:val="22"/>
          <w:lang w:val="lv-LV"/>
        </w:rPr>
        <w:t>.</w:t>
      </w:r>
    </w:p>
    <w:p w14:paraId="546CCD26" w14:textId="6D06FB47" w:rsidR="00514CEC" w:rsidRDefault="00514CEC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sz w:val="22"/>
          <w:szCs w:val="22"/>
          <w:lang w:val="lv-LV"/>
        </w:rPr>
      </w:pPr>
      <w:r w:rsidRPr="008A46B1">
        <w:rPr>
          <w:rFonts w:cs="Arial"/>
          <w:color w:val="000000"/>
          <w:sz w:val="22"/>
          <w:szCs w:val="22"/>
          <w:u w:val="single"/>
          <w:lang w:val="lv-LV"/>
        </w:rPr>
        <w:t>Pārdevuma vieta:</w:t>
      </w:r>
      <w:r w:rsidRPr="008A46B1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8A46B1">
        <w:rPr>
          <w:rFonts w:cs="Arial"/>
          <w:sz w:val="22"/>
          <w:szCs w:val="22"/>
          <w:lang w:val="lv-LV"/>
        </w:rPr>
        <w:t>saskaņ</w:t>
      </w:r>
      <w:r>
        <w:rPr>
          <w:rFonts w:cs="Arial"/>
          <w:sz w:val="22"/>
          <w:szCs w:val="22"/>
          <w:lang w:val="lv-LV"/>
        </w:rPr>
        <w:t>ā</w:t>
      </w:r>
      <w:r w:rsidRPr="008A46B1">
        <w:rPr>
          <w:rFonts w:cs="Arial"/>
          <w:sz w:val="22"/>
          <w:szCs w:val="22"/>
          <w:lang w:val="lv-LV"/>
        </w:rPr>
        <w:t xml:space="preserve"> ar specifikāciju.</w:t>
      </w:r>
    </w:p>
    <w:p w14:paraId="6595DC16" w14:textId="57D64E7B" w:rsidR="00514CEC" w:rsidRDefault="00514CEC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8A46B1">
        <w:rPr>
          <w:rFonts w:cs="Arial"/>
          <w:color w:val="000000"/>
          <w:sz w:val="22"/>
          <w:szCs w:val="22"/>
          <w:u w:val="single"/>
          <w:lang w:val="lv-LV"/>
        </w:rPr>
        <w:t xml:space="preserve">Pārdevuma </w:t>
      </w:r>
      <w:r w:rsidRPr="007055AE">
        <w:rPr>
          <w:rFonts w:cs="Arial"/>
          <w:color w:val="000000"/>
          <w:sz w:val="22"/>
          <w:szCs w:val="22"/>
          <w:u w:val="single"/>
          <w:lang w:val="lv-LV"/>
        </w:rPr>
        <w:t>termiņš:</w:t>
      </w:r>
      <w:r w:rsidRPr="007055AE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7055AE">
        <w:rPr>
          <w:rFonts w:cs="Arial"/>
          <w:sz w:val="22"/>
          <w:szCs w:val="22"/>
          <w:lang w:val="lv-LV"/>
        </w:rPr>
        <w:t xml:space="preserve">1 (viena) mēneša laikā no līguma </w:t>
      </w:r>
      <w:r w:rsidRPr="007055AE">
        <w:rPr>
          <w:rFonts w:cs="Arial"/>
          <w:color w:val="000000"/>
          <w:sz w:val="22"/>
          <w:szCs w:val="22"/>
          <w:lang w:val="lv-LV"/>
        </w:rPr>
        <w:t>abpusējas parakstīšanas brīža.</w:t>
      </w:r>
    </w:p>
    <w:p w14:paraId="16CB79D5" w14:textId="77777777" w:rsidR="00514CEC" w:rsidRPr="008A46B1" w:rsidRDefault="00514CEC" w:rsidP="00514CEC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8A46B1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8A46B1">
        <w:rPr>
          <w:rFonts w:cs="Arial"/>
          <w:color w:val="000000"/>
          <w:sz w:val="22"/>
          <w:szCs w:val="22"/>
          <w:lang w:val="lv-LV"/>
        </w:rPr>
        <w:t xml:space="preserve"> 100% priekšapmaksa.</w:t>
      </w:r>
    </w:p>
    <w:p w14:paraId="544B3D09" w14:textId="66A3A0EE" w:rsidR="006C36E5" w:rsidRDefault="00514CEC" w:rsidP="00514CEC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807159">
        <w:rPr>
          <w:rFonts w:cs="Arial"/>
          <w:sz w:val="22"/>
          <w:szCs w:val="22"/>
          <w:lang w:val="lv-LV"/>
        </w:rPr>
        <w:t>Piedāvājuma cenā (2.pielikums) jābūt</w:t>
      </w:r>
      <w:r w:rsidRPr="008A46B1">
        <w:rPr>
          <w:rFonts w:cs="Arial"/>
          <w:sz w:val="22"/>
          <w:szCs w:val="22"/>
          <w:lang w:val="lv-LV"/>
        </w:rPr>
        <w:t xml:space="preserve"> iekļaut</w:t>
      </w:r>
      <w:r>
        <w:rPr>
          <w:rFonts w:cs="Arial"/>
          <w:sz w:val="22"/>
          <w:szCs w:val="22"/>
          <w:lang w:val="lv-LV"/>
        </w:rPr>
        <w:t>ā</w:t>
      </w:r>
      <w:r w:rsidRPr="008A46B1">
        <w:rPr>
          <w:rFonts w:cs="Arial"/>
          <w:sz w:val="22"/>
          <w:szCs w:val="22"/>
          <w:lang w:val="lv-LV"/>
        </w:rPr>
        <w:t xml:space="preserve">m </w:t>
      </w:r>
      <w:r w:rsidRPr="00514CEC">
        <w:rPr>
          <w:rFonts w:cs="Arial"/>
          <w:sz w:val="22"/>
          <w:szCs w:val="22"/>
          <w:lang w:val="lv-LV"/>
        </w:rPr>
        <w:t>absolūti visām</w:t>
      </w:r>
      <w:r w:rsidRPr="008A46B1">
        <w:rPr>
          <w:rFonts w:cs="Arial"/>
          <w:sz w:val="22"/>
          <w:szCs w:val="22"/>
          <w:lang w:val="lv-LV"/>
        </w:rPr>
        <w:t xml:space="preserve"> izmaksām, kas saistītas ar </w:t>
      </w:r>
      <w:r w:rsidRPr="00514CEC">
        <w:rPr>
          <w:rFonts w:cs="Arial"/>
          <w:sz w:val="22"/>
          <w:szCs w:val="22"/>
          <w:lang w:val="lv-LV"/>
        </w:rPr>
        <w:t>dārgmetālu saturošo metāllūžņu</w:t>
      </w:r>
      <w:r w:rsidRPr="008A46B1">
        <w:rPr>
          <w:rFonts w:cs="Arial"/>
          <w:sz w:val="22"/>
          <w:szCs w:val="22"/>
          <w:lang w:val="lv-LV"/>
        </w:rPr>
        <w:t xml:space="preserve"> iepirkšanu, ņemot vērā </w:t>
      </w:r>
      <w:r w:rsidRPr="00386098">
        <w:rPr>
          <w:rFonts w:cs="Arial"/>
          <w:sz w:val="22"/>
          <w:szCs w:val="22"/>
          <w:u w:val="single"/>
          <w:lang w:val="lv-LV"/>
        </w:rPr>
        <w:t>piesārņojuma procentu uz ražošanas atlikumiem</w:t>
      </w:r>
      <w:r w:rsidRPr="00386098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 xml:space="preserve">un </w:t>
      </w:r>
      <w:r w:rsidRPr="008A46B1">
        <w:rPr>
          <w:rFonts w:cs="Arial"/>
          <w:sz w:val="22"/>
          <w:szCs w:val="22"/>
          <w:lang w:val="lv-LV"/>
        </w:rPr>
        <w:t>specifikācijā noteikto, tai skaitā darbu organizēšanas izmaksas, transportēšanas un iekraušanas izmaksas, mehānismu ekspluatācijas izdevum</w:t>
      </w:r>
      <w:r>
        <w:rPr>
          <w:rFonts w:cs="Arial"/>
          <w:sz w:val="22"/>
          <w:szCs w:val="22"/>
          <w:lang w:val="lv-LV"/>
        </w:rPr>
        <w:t>us</w:t>
      </w:r>
      <w:r w:rsidRPr="008A46B1">
        <w:rPr>
          <w:rFonts w:cs="Arial"/>
          <w:sz w:val="22"/>
          <w:szCs w:val="22"/>
          <w:lang w:val="lv-LV"/>
        </w:rPr>
        <w:t xml:space="preserve">, personāla un administratīvās izmaksas, muitas, </w:t>
      </w:r>
      <w:r w:rsidR="00F97954">
        <w:rPr>
          <w:rFonts w:cs="Arial"/>
          <w:sz w:val="22"/>
          <w:szCs w:val="22"/>
          <w:lang w:val="lv-LV"/>
        </w:rPr>
        <w:t xml:space="preserve">atmuitošanas, </w:t>
      </w:r>
      <w:r w:rsidRPr="008A46B1">
        <w:rPr>
          <w:rFonts w:cs="Arial"/>
          <w:sz w:val="22"/>
          <w:szCs w:val="22"/>
          <w:lang w:val="lv-LV"/>
        </w:rPr>
        <w:t>dabas resursu, sociāl</w:t>
      </w:r>
      <w:r>
        <w:rPr>
          <w:rFonts w:cs="Arial"/>
          <w:sz w:val="22"/>
          <w:szCs w:val="22"/>
          <w:lang w:val="lv-LV"/>
        </w:rPr>
        <w:t>o</w:t>
      </w:r>
      <w:r w:rsidRPr="008A46B1">
        <w:rPr>
          <w:rFonts w:cs="Arial"/>
          <w:sz w:val="22"/>
          <w:szCs w:val="22"/>
          <w:lang w:val="lv-LV"/>
        </w:rPr>
        <w:t xml:space="preserve"> u.c. nodokļ</w:t>
      </w:r>
      <w:r>
        <w:rPr>
          <w:rFonts w:cs="Arial"/>
          <w:sz w:val="22"/>
          <w:szCs w:val="22"/>
          <w:lang w:val="lv-LV"/>
        </w:rPr>
        <w:t>us</w:t>
      </w:r>
      <w:r w:rsidRPr="008A46B1">
        <w:rPr>
          <w:rFonts w:cs="Arial"/>
          <w:sz w:val="22"/>
          <w:szCs w:val="22"/>
          <w:lang w:val="lv-LV"/>
        </w:rPr>
        <w:t xml:space="preserve"> (izņemot PVN), saskaņā ar Latvijas Republikas tiesību aktiem, apdrošināšan</w:t>
      </w:r>
      <w:r>
        <w:rPr>
          <w:rFonts w:cs="Arial"/>
          <w:sz w:val="22"/>
          <w:szCs w:val="22"/>
          <w:lang w:val="lv-LV"/>
        </w:rPr>
        <w:t>u</w:t>
      </w:r>
      <w:r w:rsidRPr="008A46B1">
        <w:rPr>
          <w:rFonts w:cs="Arial"/>
          <w:sz w:val="22"/>
          <w:szCs w:val="22"/>
          <w:lang w:val="lv-LV"/>
        </w:rPr>
        <w:t>, pieskaitāmās izmaksas, ar peļņu un riska faktoriem saistītās izmaksas, neparedzam</w:t>
      </w:r>
      <w:r>
        <w:rPr>
          <w:rFonts w:cs="Arial"/>
          <w:sz w:val="22"/>
          <w:szCs w:val="22"/>
          <w:lang w:val="lv-LV"/>
        </w:rPr>
        <w:t>os</w:t>
      </w:r>
      <w:r w:rsidRPr="008A46B1">
        <w:rPr>
          <w:rFonts w:cs="Arial"/>
          <w:sz w:val="22"/>
          <w:szCs w:val="22"/>
          <w:lang w:val="lv-LV"/>
        </w:rPr>
        <w:t xml:space="preserve"> izdevum</w:t>
      </w:r>
      <w:r>
        <w:rPr>
          <w:rFonts w:cs="Arial"/>
          <w:sz w:val="22"/>
          <w:szCs w:val="22"/>
          <w:lang w:val="lv-LV"/>
        </w:rPr>
        <w:t>us</w:t>
      </w:r>
      <w:r w:rsidRPr="008A46B1">
        <w:rPr>
          <w:rFonts w:cs="Arial"/>
          <w:sz w:val="22"/>
          <w:szCs w:val="22"/>
          <w:lang w:val="lv-LV"/>
        </w:rPr>
        <w:t xml:space="preserve"> u.tml.</w:t>
      </w:r>
    </w:p>
    <w:p w14:paraId="657171C3" w14:textId="3D9ADC97" w:rsidR="006C36E5" w:rsidRDefault="00514CEC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P</w:t>
      </w:r>
      <w:r w:rsidRPr="006E108D">
        <w:rPr>
          <w:rFonts w:cs="Arial"/>
          <w:sz w:val="22"/>
          <w:szCs w:val="22"/>
          <w:lang w:val="lv-LV"/>
        </w:rPr>
        <w:t xml:space="preserve">iedāvājumu pretendents var iesniegt </w:t>
      </w:r>
      <w:r>
        <w:rPr>
          <w:rFonts w:cs="Arial"/>
          <w:sz w:val="22"/>
          <w:szCs w:val="22"/>
          <w:lang w:val="lv-LV"/>
        </w:rPr>
        <w:t xml:space="preserve">tikai </w:t>
      </w:r>
      <w:r w:rsidRPr="008A1B68">
        <w:rPr>
          <w:rFonts w:cs="Arial"/>
          <w:color w:val="000000"/>
          <w:sz w:val="22"/>
          <w:szCs w:val="22"/>
          <w:lang w:val="lv-LV"/>
        </w:rPr>
        <w:t xml:space="preserve">par visu </w:t>
      </w:r>
      <w:r>
        <w:rPr>
          <w:rFonts w:cs="Arial"/>
          <w:color w:val="000000"/>
          <w:sz w:val="22"/>
          <w:szCs w:val="22"/>
          <w:lang w:val="lv-LV"/>
        </w:rPr>
        <w:t>tirgus izpētes</w:t>
      </w:r>
      <w:r w:rsidRPr="008A1B68">
        <w:rPr>
          <w:rFonts w:cs="Arial"/>
          <w:color w:val="000000"/>
          <w:sz w:val="22"/>
          <w:szCs w:val="22"/>
          <w:lang w:val="lv-LV"/>
        </w:rPr>
        <w:t xml:space="preserve"> priekšmet</w:t>
      </w:r>
      <w:r>
        <w:rPr>
          <w:rFonts w:cs="Arial"/>
          <w:color w:val="000000"/>
          <w:sz w:val="22"/>
          <w:szCs w:val="22"/>
          <w:lang w:val="lv-LV"/>
        </w:rPr>
        <w:t>a</w:t>
      </w:r>
      <w:r w:rsidRPr="008A1B68">
        <w:rPr>
          <w:rFonts w:cs="Arial"/>
          <w:color w:val="000000"/>
          <w:sz w:val="22"/>
          <w:szCs w:val="22"/>
          <w:lang w:val="lv-LV"/>
        </w:rPr>
        <w:t xml:space="preserve"> kopumā</w:t>
      </w:r>
      <w:r>
        <w:rPr>
          <w:rFonts w:cs="Arial"/>
          <w:color w:val="000000"/>
          <w:sz w:val="22"/>
          <w:szCs w:val="22"/>
          <w:lang w:val="lv-LV"/>
        </w:rPr>
        <w:t>.</w:t>
      </w:r>
    </w:p>
    <w:p w14:paraId="559472BF" w14:textId="15C773A5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1B0FC8">
        <w:rPr>
          <w:rFonts w:cs="Arial"/>
          <w:sz w:val="22"/>
          <w:szCs w:val="22"/>
          <w:lang w:val="lv-LV"/>
        </w:rPr>
        <w:t xml:space="preserve">Lūdzam Jūs </w:t>
      </w:r>
      <w:r w:rsidR="00B63674" w:rsidRPr="00B63674">
        <w:rPr>
          <w:rFonts w:cs="Arial"/>
          <w:b/>
          <w:bCs/>
          <w:sz w:val="22"/>
          <w:szCs w:val="22"/>
          <w:lang w:val="lv-LV"/>
        </w:rPr>
        <w:t>līdz 2024.gada 4.jūlijam</w:t>
      </w:r>
      <w:r w:rsidRPr="001B0FC8">
        <w:rPr>
          <w:rFonts w:cs="Arial"/>
          <w:sz w:val="22"/>
          <w:szCs w:val="22"/>
          <w:lang w:val="lv-LV"/>
        </w:rPr>
        <w:t xml:space="preserve"> iesniegt</w:t>
      </w:r>
      <w:r w:rsidRPr="00243394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p</w:t>
      </w:r>
      <w:r w:rsidRPr="00243394">
        <w:rPr>
          <w:rFonts w:cs="Arial"/>
          <w:sz w:val="22"/>
          <w:szCs w:val="22"/>
          <w:lang w:val="lv-LV"/>
        </w:rPr>
        <w:t xml:space="preserve">iedāvājumu </w:t>
      </w:r>
      <w:r w:rsidRPr="00243394">
        <w:rPr>
          <w:rFonts w:cs="Arial"/>
          <w:iCs/>
          <w:sz w:val="22"/>
          <w:szCs w:val="22"/>
          <w:lang w:val="lv-LV"/>
        </w:rPr>
        <w:t xml:space="preserve">ar </w:t>
      </w:r>
      <w:proofErr w:type="spellStart"/>
      <w:r w:rsidRPr="00243394">
        <w:rPr>
          <w:rFonts w:cs="Arial"/>
          <w:iCs/>
          <w:sz w:val="22"/>
          <w:szCs w:val="22"/>
          <w:lang w:val="lv-LV"/>
        </w:rPr>
        <w:t>paraksttiesīgās</w:t>
      </w:r>
      <w:proofErr w:type="spellEnd"/>
      <w:r w:rsidRPr="00243394">
        <w:rPr>
          <w:rFonts w:cs="Arial"/>
          <w:iCs/>
          <w:sz w:val="22"/>
          <w:szCs w:val="22"/>
          <w:lang w:val="lv-LV"/>
        </w:rPr>
        <w:t xml:space="preserve"> personas parakstu </w:t>
      </w:r>
      <w:r w:rsidRPr="00243394">
        <w:rPr>
          <w:rFonts w:cs="Arial"/>
          <w:sz w:val="22"/>
          <w:szCs w:val="22"/>
          <w:lang w:val="lv-LV"/>
        </w:rPr>
        <w:t>VAS “Latvijas dzelzceļš”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Elektrotehniskajai pārvaldei, </w:t>
      </w:r>
      <w:r>
        <w:rPr>
          <w:rFonts w:cs="Arial"/>
          <w:color w:val="000000"/>
          <w:sz w:val="22"/>
          <w:szCs w:val="22"/>
          <w:lang w:val="lv-LV"/>
        </w:rPr>
        <w:t>Emīlijas Benjamiņas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ielā 3, Rīgā, </w:t>
      </w:r>
      <w:r w:rsidRPr="00ED308E">
        <w:rPr>
          <w:rFonts w:cs="Arial"/>
          <w:sz w:val="22"/>
          <w:szCs w:val="22"/>
          <w:lang w:val="lv-LV"/>
        </w:rPr>
        <w:t>LV-1050</w:t>
      </w:r>
      <w:r w:rsidRPr="00243394">
        <w:rPr>
          <w:rFonts w:cs="Arial"/>
          <w:sz w:val="22"/>
          <w:szCs w:val="22"/>
          <w:lang w:val="lv-LV"/>
        </w:rPr>
        <w:t>,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243394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ep</w:t>
      </w:r>
      <w:r w:rsidRPr="00243394">
        <w:rPr>
          <w:rFonts w:cs="Arial"/>
          <w:b/>
          <w:bCs/>
          <w:sz w:val="22"/>
          <w:szCs w:val="22"/>
          <w:lang w:val="lv-LV"/>
        </w:rPr>
        <w:t>@ldz.lv.</w:t>
      </w:r>
    </w:p>
    <w:p w14:paraId="3B02E746" w14:textId="584EE3C9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2158C4">
        <w:rPr>
          <w:rFonts w:cs="Arial"/>
          <w:sz w:val="22"/>
          <w:szCs w:val="22"/>
          <w:lang w:val="lv-LV"/>
        </w:rPr>
        <w:t xml:space="preserve">Kontaktpersona: </w:t>
      </w:r>
      <w:r>
        <w:rPr>
          <w:rFonts w:cs="Arial"/>
          <w:sz w:val="22"/>
          <w:szCs w:val="22"/>
          <w:lang w:val="lv-LV"/>
        </w:rPr>
        <w:t>29532285</w:t>
      </w:r>
      <w:r w:rsidR="00A57D45">
        <w:rPr>
          <w:rFonts w:cs="Arial"/>
          <w:sz w:val="22"/>
          <w:szCs w:val="22"/>
          <w:lang w:val="lv-LV"/>
        </w:rPr>
        <w:t>, e-pasts: viktors.vanagelis@.ldz.lv</w:t>
      </w:r>
    </w:p>
    <w:p w14:paraId="796F32C1" w14:textId="432C6301" w:rsidR="006C36E5" w:rsidRDefault="00514CEC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sz w:val="22"/>
          <w:szCs w:val="22"/>
          <w:lang w:val="lv-LV" w:eastAsia="lv-LV"/>
        </w:rPr>
      </w:pPr>
      <w:r w:rsidRPr="008A46B1">
        <w:rPr>
          <w:rFonts w:cs="Arial"/>
          <w:sz w:val="22"/>
          <w:szCs w:val="22"/>
          <w:lang w:val="lv-LV"/>
        </w:rPr>
        <w:t xml:space="preserve">Šīs tirgus izpētes mērķis ir </w:t>
      </w:r>
      <w:r w:rsidRPr="008A46B1">
        <w:rPr>
          <w:rFonts w:eastAsia="Times New Roman" w:cs="Arial"/>
          <w:sz w:val="22"/>
          <w:szCs w:val="22"/>
          <w:lang w:val="lv-LV" w:eastAsia="lv-LV"/>
        </w:rPr>
        <w:t xml:space="preserve">izvērtēt situāciju tirgū un šis uzaicinājums piedāvājuma iesniegšanai nerada tā saņēmējam un </w:t>
      </w:r>
      <w:proofErr w:type="spellStart"/>
      <w:r w:rsidRPr="008A46B1">
        <w:rPr>
          <w:rFonts w:eastAsia="Times New Roman" w:cs="Arial"/>
          <w:sz w:val="22"/>
          <w:szCs w:val="22"/>
          <w:lang w:val="lv-LV" w:eastAsia="lv-LV"/>
        </w:rPr>
        <w:t>LDz</w:t>
      </w:r>
      <w:proofErr w:type="spellEnd"/>
      <w:r w:rsidRPr="008A46B1">
        <w:rPr>
          <w:rFonts w:eastAsia="Times New Roman" w:cs="Arial"/>
          <w:sz w:val="22"/>
          <w:szCs w:val="22"/>
          <w:lang w:val="lv-LV" w:eastAsia="lv-LV"/>
        </w:rPr>
        <w:t xml:space="preserve"> </w:t>
      </w:r>
      <w:r w:rsidRPr="008A46B1">
        <w:rPr>
          <w:rFonts w:cs="Arial"/>
          <w:sz w:val="22"/>
          <w:szCs w:val="22"/>
          <w:lang w:val="lv-LV"/>
        </w:rPr>
        <w:t>pienākumu</w:t>
      </w:r>
      <w:r w:rsidRPr="008A46B1">
        <w:rPr>
          <w:rFonts w:eastAsia="Times New Roman" w:cs="Arial"/>
          <w:sz w:val="22"/>
          <w:szCs w:val="22"/>
          <w:lang w:val="lv-LV" w:eastAsia="lv-LV"/>
        </w:rPr>
        <w:t xml:space="preserve"> nākotnē slēgt darījumu par </w:t>
      </w:r>
      <w:r>
        <w:rPr>
          <w:rFonts w:eastAsia="Times New Roman" w:cs="Arial"/>
          <w:sz w:val="22"/>
          <w:szCs w:val="22"/>
          <w:lang w:val="lv-LV" w:eastAsia="lv-LV"/>
        </w:rPr>
        <w:t>t</w:t>
      </w:r>
      <w:r w:rsidRPr="008A46B1">
        <w:rPr>
          <w:rFonts w:eastAsia="Times New Roman" w:cs="Arial"/>
          <w:sz w:val="22"/>
          <w:szCs w:val="22"/>
          <w:lang w:val="lv-LV" w:eastAsia="lv-LV"/>
        </w:rPr>
        <w:t>irgus izpētē noteikto priekšmetu</w:t>
      </w:r>
      <w:r w:rsidRPr="00514CEC">
        <w:rPr>
          <w:rFonts w:eastAsia="Times New Roman" w:cs="Arial"/>
          <w:sz w:val="22"/>
          <w:szCs w:val="22"/>
          <w:lang w:val="lv-LV" w:eastAsia="lv-LV"/>
        </w:rPr>
        <w:t>.</w:t>
      </w:r>
      <w:r w:rsidR="006C36E5" w:rsidRPr="00514CEC">
        <w:rPr>
          <w:rFonts w:eastAsia="Times New Roman" w:cs="Arial"/>
          <w:sz w:val="22"/>
          <w:szCs w:val="22"/>
          <w:u w:val="single"/>
          <w:lang w:val="lv-LV" w:eastAsia="lv-LV"/>
        </w:rPr>
        <w:t xml:space="preserve"> Tirgus izpētes rezultāti netiks oficiāli publicēti/paziņoti.</w:t>
      </w:r>
    </w:p>
    <w:p w14:paraId="39FB1D82" w14:textId="77777777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sz w:val="22"/>
          <w:szCs w:val="22"/>
          <w:lang w:val="lv-LV"/>
        </w:rPr>
        <w:t>Uzaicinājumā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minētos personas datus to saņēmējs drīkst apstrādāt tikai saskaņā ar Fizisko personu datu apstrādes likuma prasībām.</w:t>
      </w:r>
    </w:p>
    <w:p w14:paraId="71A7E6C1" w14:textId="77777777" w:rsidR="006C36E5" w:rsidRPr="00826C8C" w:rsidRDefault="006C36E5" w:rsidP="006C36E5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  <w:r w:rsidRPr="00826C8C">
        <w:rPr>
          <w:rFonts w:cs="Arial"/>
          <w:color w:val="000000"/>
          <w:sz w:val="22"/>
          <w:szCs w:val="22"/>
          <w:lang w:val="lv-LV"/>
        </w:rPr>
        <w:t>Pielikumā:</w:t>
      </w:r>
    </w:p>
    <w:p w14:paraId="514C74D8" w14:textId="6F812051" w:rsidR="006C36E5" w:rsidRDefault="006C36E5" w:rsidP="00B63674">
      <w:pPr>
        <w:tabs>
          <w:tab w:val="left" w:pos="993"/>
        </w:tabs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1.pielikums “</w:t>
      </w:r>
      <w:r w:rsidR="00C5555F">
        <w:rPr>
          <w:rFonts w:cs="Arial"/>
          <w:color w:val="000000"/>
          <w:sz w:val="22"/>
          <w:szCs w:val="22"/>
          <w:lang w:val="lv-LV"/>
        </w:rPr>
        <w:t>S</w:t>
      </w:r>
      <w:r w:rsidR="00514CEC" w:rsidRPr="00C5555F">
        <w:rPr>
          <w:rFonts w:cs="Arial"/>
          <w:color w:val="000000"/>
          <w:sz w:val="22"/>
          <w:szCs w:val="22"/>
          <w:lang w:val="lv-LV"/>
        </w:rPr>
        <w:t>pecifikācija</w:t>
      </w:r>
      <w:r w:rsidRPr="00C5555F">
        <w:rPr>
          <w:rFonts w:cs="Arial"/>
          <w:color w:val="000000"/>
          <w:sz w:val="22"/>
          <w:szCs w:val="22"/>
          <w:lang w:val="lv-LV"/>
        </w:rPr>
        <w:t>”;</w:t>
      </w:r>
    </w:p>
    <w:p w14:paraId="7D2B70AF" w14:textId="47C1BC49" w:rsidR="006C36E5" w:rsidRDefault="006C36E5" w:rsidP="00B63674">
      <w:pPr>
        <w:tabs>
          <w:tab w:val="left" w:pos="993"/>
        </w:tabs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2.</w:t>
      </w:r>
      <w:r w:rsidRPr="00807159">
        <w:rPr>
          <w:rFonts w:cs="Arial"/>
          <w:color w:val="000000"/>
          <w:sz w:val="22"/>
          <w:szCs w:val="22"/>
          <w:lang w:val="lv-LV"/>
        </w:rPr>
        <w:t>pielikums “Piedāvājums tirgus izpētei /forma/</w:t>
      </w:r>
      <w:r w:rsidR="00807159">
        <w:rPr>
          <w:rFonts w:cs="Arial"/>
          <w:color w:val="000000"/>
          <w:sz w:val="22"/>
          <w:szCs w:val="22"/>
          <w:lang w:val="lv-LV"/>
        </w:rPr>
        <w:t>”</w:t>
      </w:r>
      <w:r w:rsidR="00B63674">
        <w:rPr>
          <w:rFonts w:cs="Arial"/>
          <w:color w:val="000000"/>
          <w:sz w:val="22"/>
          <w:szCs w:val="22"/>
          <w:lang w:val="lv-LV"/>
        </w:rPr>
        <w:t>.</w:t>
      </w:r>
    </w:p>
    <w:p w14:paraId="1EDBCC36" w14:textId="5C20A41F" w:rsidR="00727D37" w:rsidRPr="006746E4" w:rsidRDefault="00727D37" w:rsidP="00514CEC">
      <w:pPr>
        <w:tabs>
          <w:tab w:val="left" w:pos="993"/>
        </w:tabs>
        <w:spacing w:before="0" w:line="240" w:lineRule="auto"/>
        <w:ind w:left="709"/>
        <w:rPr>
          <w:rFonts w:cs="Arial"/>
          <w:sz w:val="22"/>
          <w:szCs w:val="22"/>
          <w:lang w:val="lv-LV"/>
        </w:rPr>
      </w:pPr>
    </w:p>
    <w:sectPr w:rsidR="00727D37" w:rsidRPr="006746E4" w:rsidSect="00F74F32">
      <w:headerReference w:type="default" r:id="rId9"/>
      <w:pgSz w:w="11900" w:h="16840"/>
      <w:pgMar w:top="-851" w:right="567" w:bottom="567" w:left="1701" w:header="6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173" w14:textId="77777777" w:rsidR="00900F23" w:rsidRDefault="00900F23" w:rsidP="001F7D81">
      <w:pPr>
        <w:spacing w:before="0" w:line="240" w:lineRule="auto"/>
      </w:pPr>
      <w:r>
        <w:separator/>
      </w:r>
    </w:p>
  </w:endnote>
  <w:endnote w:type="continuationSeparator" w:id="0">
    <w:p w14:paraId="578FEAF9" w14:textId="77777777" w:rsidR="00900F23" w:rsidRDefault="00900F2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0E5E" w14:textId="77777777" w:rsidR="00900F23" w:rsidRDefault="00900F23" w:rsidP="001F7D81">
      <w:pPr>
        <w:spacing w:before="0" w:line="240" w:lineRule="auto"/>
      </w:pPr>
      <w:r>
        <w:separator/>
      </w:r>
    </w:p>
  </w:footnote>
  <w:footnote w:type="continuationSeparator" w:id="0">
    <w:p w14:paraId="0E532F6A" w14:textId="77777777" w:rsidR="00900F23" w:rsidRDefault="00900F23" w:rsidP="001F7D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6D1F" w14:textId="77777777" w:rsidR="008559CF" w:rsidRDefault="008559CF">
    <w:pPr>
      <w:pStyle w:val="Galvene"/>
    </w:pPr>
  </w:p>
  <w:p w14:paraId="20C70106" w14:textId="77777777" w:rsidR="008559CF" w:rsidRDefault="008559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9021891">
    <w:abstractNumId w:val="1"/>
  </w:num>
  <w:num w:numId="2" w16cid:durableId="804812898">
    <w:abstractNumId w:val="2"/>
  </w:num>
  <w:num w:numId="3" w16cid:durableId="48170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696A"/>
    <w:rsid w:val="0002000A"/>
    <w:rsid w:val="000E726B"/>
    <w:rsid w:val="000F3E5E"/>
    <w:rsid w:val="001057B6"/>
    <w:rsid w:val="00124F16"/>
    <w:rsid w:val="0015545E"/>
    <w:rsid w:val="001656EF"/>
    <w:rsid w:val="00166F28"/>
    <w:rsid w:val="00181C0F"/>
    <w:rsid w:val="001F7D81"/>
    <w:rsid w:val="00202505"/>
    <w:rsid w:val="00234217"/>
    <w:rsid w:val="002565A2"/>
    <w:rsid w:val="00284035"/>
    <w:rsid w:val="002A703E"/>
    <w:rsid w:val="002B069C"/>
    <w:rsid w:val="002C258F"/>
    <w:rsid w:val="002E5D68"/>
    <w:rsid w:val="002F2E70"/>
    <w:rsid w:val="00301876"/>
    <w:rsid w:val="0030526B"/>
    <w:rsid w:val="00320356"/>
    <w:rsid w:val="00345912"/>
    <w:rsid w:val="00352698"/>
    <w:rsid w:val="00373065"/>
    <w:rsid w:val="00380084"/>
    <w:rsid w:val="00390A22"/>
    <w:rsid w:val="003A3430"/>
    <w:rsid w:val="003B2848"/>
    <w:rsid w:val="003C0A07"/>
    <w:rsid w:val="00401156"/>
    <w:rsid w:val="00412EBA"/>
    <w:rsid w:val="00455679"/>
    <w:rsid w:val="004B46B1"/>
    <w:rsid w:val="004D204D"/>
    <w:rsid w:val="004E0E8C"/>
    <w:rsid w:val="004F4045"/>
    <w:rsid w:val="004F5F13"/>
    <w:rsid w:val="005127A2"/>
    <w:rsid w:val="00514CEC"/>
    <w:rsid w:val="005419AB"/>
    <w:rsid w:val="005722B6"/>
    <w:rsid w:val="005A6EB8"/>
    <w:rsid w:val="005B0AF6"/>
    <w:rsid w:val="006457FB"/>
    <w:rsid w:val="006462A5"/>
    <w:rsid w:val="00647D36"/>
    <w:rsid w:val="006746E4"/>
    <w:rsid w:val="00675906"/>
    <w:rsid w:val="00677543"/>
    <w:rsid w:val="006A7C08"/>
    <w:rsid w:val="006C36E5"/>
    <w:rsid w:val="0070137C"/>
    <w:rsid w:val="00704172"/>
    <w:rsid w:val="007055AE"/>
    <w:rsid w:val="0071564C"/>
    <w:rsid w:val="00722283"/>
    <w:rsid w:val="00727D37"/>
    <w:rsid w:val="007657C3"/>
    <w:rsid w:val="00771AE1"/>
    <w:rsid w:val="0078161F"/>
    <w:rsid w:val="007B28BB"/>
    <w:rsid w:val="007B7D9B"/>
    <w:rsid w:val="007D303A"/>
    <w:rsid w:val="007E0450"/>
    <w:rsid w:val="00807159"/>
    <w:rsid w:val="00815380"/>
    <w:rsid w:val="008476E8"/>
    <w:rsid w:val="008559CF"/>
    <w:rsid w:val="0089403C"/>
    <w:rsid w:val="008B5B54"/>
    <w:rsid w:val="008C2BA1"/>
    <w:rsid w:val="008D1BFC"/>
    <w:rsid w:val="008E16B6"/>
    <w:rsid w:val="00900F23"/>
    <w:rsid w:val="00903DD6"/>
    <w:rsid w:val="009075C3"/>
    <w:rsid w:val="0093668F"/>
    <w:rsid w:val="009B4A66"/>
    <w:rsid w:val="009D54AD"/>
    <w:rsid w:val="009E4EB2"/>
    <w:rsid w:val="009F7A6D"/>
    <w:rsid w:val="00A06D8B"/>
    <w:rsid w:val="00A26036"/>
    <w:rsid w:val="00A45825"/>
    <w:rsid w:val="00A57D45"/>
    <w:rsid w:val="00A77351"/>
    <w:rsid w:val="00A919B7"/>
    <w:rsid w:val="00AA58A6"/>
    <w:rsid w:val="00AC716A"/>
    <w:rsid w:val="00AF7705"/>
    <w:rsid w:val="00B04819"/>
    <w:rsid w:val="00B371C2"/>
    <w:rsid w:val="00B40EB8"/>
    <w:rsid w:val="00B5259A"/>
    <w:rsid w:val="00B62518"/>
    <w:rsid w:val="00B63674"/>
    <w:rsid w:val="00B705F7"/>
    <w:rsid w:val="00B81412"/>
    <w:rsid w:val="00B903CC"/>
    <w:rsid w:val="00B94178"/>
    <w:rsid w:val="00B959F9"/>
    <w:rsid w:val="00C07D15"/>
    <w:rsid w:val="00C34AAC"/>
    <w:rsid w:val="00C5555F"/>
    <w:rsid w:val="00C615D9"/>
    <w:rsid w:val="00C61867"/>
    <w:rsid w:val="00C71377"/>
    <w:rsid w:val="00CC461D"/>
    <w:rsid w:val="00CC5563"/>
    <w:rsid w:val="00D268D2"/>
    <w:rsid w:val="00D55894"/>
    <w:rsid w:val="00D80C88"/>
    <w:rsid w:val="00D970F5"/>
    <w:rsid w:val="00DA0BA6"/>
    <w:rsid w:val="00DB1623"/>
    <w:rsid w:val="00DF232D"/>
    <w:rsid w:val="00E44BA5"/>
    <w:rsid w:val="00E54F15"/>
    <w:rsid w:val="00EC0F61"/>
    <w:rsid w:val="00EF7D26"/>
    <w:rsid w:val="00F024C1"/>
    <w:rsid w:val="00F149FC"/>
    <w:rsid w:val="00F44C7C"/>
    <w:rsid w:val="00F44EE9"/>
    <w:rsid w:val="00F521B2"/>
    <w:rsid w:val="00F52FBF"/>
    <w:rsid w:val="00F55E0A"/>
    <w:rsid w:val="00F574DB"/>
    <w:rsid w:val="00F664F1"/>
    <w:rsid w:val="00F74F32"/>
    <w:rsid w:val="00F9599D"/>
    <w:rsid w:val="00F97954"/>
    <w:rsid w:val="00F97DBC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447"/>
  <w14:defaultImageDpi w14:val="32767"/>
  <w15:docId w15:val="{DDA121CB-C371-4CD2-8446-4C69BFA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table" w:styleId="Reatabula">
    <w:name w:val="Table Grid"/>
    <w:basedOn w:val="Parastatabula"/>
    <w:uiPriority w:val="39"/>
    <w:rsid w:val="006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6C36E5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6C36E5"/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A018B-1E8D-4F6B-96D1-AA4B64D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0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2024-06-20T08:48:00Z</dcterms:created>
  <dcterms:modified xsi:type="dcterms:W3CDTF">2024-06-20T08:48:00Z</dcterms:modified>
</cp:coreProperties>
</file>